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112DF" w:rsidRPr="00C112DF" w:rsidRDefault="00C112DF" w:rsidP="00C112DF">
      <w:pPr>
        <w:rPr>
          <w:b/>
          <w:sz w:val="32"/>
          <w:szCs w:val="32"/>
        </w:rPr>
      </w:pPr>
    </w:p>
    <w:p w:rsidR="000026B2" w:rsidRPr="000026B2" w:rsidRDefault="000026B2" w:rsidP="000026B2">
      <w:pPr>
        <w:spacing w:line="360" w:lineRule="auto"/>
        <w:jc w:val="both"/>
        <w:rPr>
          <w:rFonts w:cs="Times New Roman"/>
          <w:b/>
          <w:sz w:val="40"/>
          <w:szCs w:val="40"/>
          <w:lang w:val="en-GB"/>
        </w:rPr>
      </w:pPr>
    </w:p>
    <w:p w:rsidR="000026B2" w:rsidRDefault="000026B2" w:rsidP="000026B2">
      <w:pPr>
        <w:spacing w:line="360" w:lineRule="auto"/>
        <w:jc w:val="center"/>
        <w:rPr>
          <w:rFonts w:cs="Times New Roman"/>
          <w:b/>
          <w:sz w:val="40"/>
          <w:szCs w:val="40"/>
          <w:lang w:val="en-GB"/>
        </w:rPr>
      </w:pPr>
      <w:r w:rsidRPr="000026B2">
        <w:rPr>
          <w:rFonts w:cs="Times New Roman"/>
          <w:b/>
          <w:sz w:val="40"/>
          <w:szCs w:val="40"/>
          <w:lang w:val="en-GB"/>
        </w:rPr>
        <w:t>MGT2HRM Assessment Task 3</w:t>
      </w:r>
    </w:p>
    <w:p w:rsidR="000026B2" w:rsidRPr="000026B2" w:rsidRDefault="000026B2" w:rsidP="000026B2">
      <w:pPr>
        <w:spacing w:line="360" w:lineRule="auto"/>
        <w:jc w:val="center"/>
        <w:rPr>
          <w:rFonts w:cs="Times New Roman"/>
          <w:b/>
          <w:sz w:val="40"/>
          <w:szCs w:val="40"/>
          <w:lang w:val="en-GB"/>
        </w:rPr>
      </w:pPr>
    </w:p>
    <w:p w:rsidR="00C112DF" w:rsidRDefault="000026B2" w:rsidP="000026B2">
      <w:pPr>
        <w:spacing w:line="360" w:lineRule="auto"/>
        <w:ind w:firstLine="720"/>
        <w:jc w:val="center"/>
        <w:rPr>
          <w:rFonts w:cs="Times New Roman"/>
          <w:b/>
          <w:sz w:val="40"/>
          <w:szCs w:val="40"/>
          <w:lang w:val="en-GB"/>
        </w:rPr>
      </w:pPr>
      <w:r w:rsidRPr="000026B2">
        <w:rPr>
          <w:rFonts w:cs="Times New Roman"/>
          <w:b/>
          <w:sz w:val="40"/>
          <w:szCs w:val="40"/>
          <w:lang w:val="en-GB"/>
        </w:rPr>
        <w:t>(Recruitment and Selection)</w:t>
      </w:r>
    </w:p>
    <w:p w:rsidR="000026B2" w:rsidRPr="000026B2" w:rsidRDefault="000026B2" w:rsidP="000026B2">
      <w:pPr>
        <w:spacing w:line="360" w:lineRule="auto"/>
        <w:jc w:val="center"/>
        <w:rPr>
          <w:rFonts w:cs="Times New Roman"/>
          <w:b/>
          <w:sz w:val="40"/>
          <w:szCs w:val="40"/>
          <w:lang w:val="en-GB"/>
        </w:rPr>
      </w:pPr>
    </w:p>
    <w:p w:rsidR="00FD4D6C" w:rsidRDefault="009C0E5B" w:rsidP="000026B2">
      <w:pPr>
        <w:spacing w:line="360" w:lineRule="auto"/>
        <w:ind w:left="2880" w:firstLine="720"/>
        <w:rPr>
          <w:b/>
          <w:sz w:val="40"/>
          <w:szCs w:val="40"/>
        </w:rPr>
      </w:pPr>
      <w:r w:rsidRPr="000026B2">
        <w:rPr>
          <w:b/>
          <w:sz w:val="40"/>
          <w:szCs w:val="40"/>
        </w:rPr>
        <w:t>Institutional Affiliation</w:t>
      </w:r>
    </w:p>
    <w:p w:rsidR="000026B2" w:rsidRPr="000026B2" w:rsidRDefault="000026B2" w:rsidP="00C112DF">
      <w:pPr>
        <w:spacing w:line="360" w:lineRule="auto"/>
        <w:ind w:left="2880" w:firstLine="720"/>
        <w:rPr>
          <w:b/>
          <w:sz w:val="40"/>
          <w:szCs w:val="40"/>
        </w:rPr>
      </w:pPr>
    </w:p>
    <w:p w:rsidR="00C112DF" w:rsidRPr="000026B2" w:rsidRDefault="00C112DF" w:rsidP="000026B2">
      <w:pPr>
        <w:spacing w:line="360" w:lineRule="auto"/>
        <w:ind w:left="3600" w:firstLine="720"/>
        <w:rPr>
          <w:b/>
          <w:sz w:val="40"/>
          <w:szCs w:val="40"/>
        </w:rPr>
      </w:pPr>
      <w:r w:rsidRPr="000026B2">
        <w:rPr>
          <w:b/>
          <w:sz w:val="40"/>
          <w:szCs w:val="40"/>
        </w:rPr>
        <w:t>Students Name</w:t>
      </w:r>
    </w:p>
    <w:p w:rsidR="00FD4D6C" w:rsidRDefault="00FD4D6C" w:rsidP="00C112DF"/>
    <w:p w:rsidR="00FD4D6C" w:rsidRDefault="00FD4D6C" w:rsidP="00FD4D6C">
      <w:pPr>
        <w:jc w:val="center"/>
      </w:pPr>
    </w:p>
    <w:p w:rsidR="00FD4D6C" w:rsidRDefault="00FD4D6C" w:rsidP="00C112DF"/>
    <w:p w:rsidR="00C112DF" w:rsidRDefault="00C112DF">
      <w:r>
        <w:br w:type="page"/>
      </w:r>
    </w:p>
    <w:p w:rsidR="00FD4D6C" w:rsidRDefault="00FD4D6C" w:rsidP="00FD4D6C">
      <w:pPr>
        <w:jc w:val="center"/>
      </w:pPr>
    </w:p>
    <w:p w:rsidR="00FD4D6C" w:rsidRDefault="00FD4D6C" w:rsidP="00FD4D6C">
      <w:pPr>
        <w:jc w:val="center"/>
      </w:pPr>
    </w:p>
    <w:p w:rsidR="00FD4D6C" w:rsidRDefault="00FD4D6C" w:rsidP="00FD4D6C">
      <w:pPr>
        <w:jc w:val="center"/>
      </w:pPr>
    </w:p>
    <w:p w:rsidR="00FD4D6C" w:rsidRDefault="00FD4D6C" w:rsidP="00FD4D6C">
      <w:pPr>
        <w:jc w:val="center"/>
      </w:pPr>
    </w:p>
    <w:p w:rsidR="00FD4D6C" w:rsidRDefault="00FD4D6C" w:rsidP="00FD4D6C">
      <w:pPr>
        <w:jc w:val="center"/>
      </w:pPr>
    </w:p>
    <w:p w:rsidR="00FD4D6C" w:rsidRDefault="00FD4D6C" w:rsidP="00BC538F">
      <w:pPr>
        <w:ind w:firstLine="720"/>
        <w:jc w:val="both"/>
      </w:pPr>
    </w:p>
    <w:p w:rsidR="00C112DF" w:rsidRPr="00E933AB" w:rsidRDefault="00C112DF" w:rsidP="00BC538F">
      <w:pPr>
        <w:ind w:firstLine="720"/>
        <w:jc w:val="both"/>
        <w:rPr>
          <w:rFonts w:cs="Times New Roman"/>
          <w:b/>
          <w:lang w:val="en-GB"/>
        </w:rPr>
      </w:pPr>
    </w:p>
    <w:p w:rsidR="00C112DF" w:rsidRDefault="00BC538F" w:rsidP="00BC538F">
      <w:pPr>
        <w:ind w:left="720" w:firstLine="720"/>
        <w:jc w:val="both"/>
        <w:rPr>
          <w:rFonts w:cs="Times New Roman"/>
          <w:b/>
          <w:lang w:val="en-GB"/>
        </w:rPr>
      </w:pPr>
      <w:r>
        <w:rPr>
          <w:rFonts w:cs="Times New Roman"/>
          <w:b/>
          <w:lang w:val="en-GB"/>
        </w:rPr>
        <w:t>HRM   Policy Analysis</w:t>
      </w:r>
    </w:p>
    <w:p w:rsidR="00BC538F" w:rsidRDefault="00BC538F" w:rsidP="00BC538F">
      <w:pPr>
        <w:ind w:left="720" w:firstLine="720"/>
        <w:jc w:val="both"/>
        <w:rPr>
          <w:rFonts w:cs="Times New Roman"/>
          <w:b/>
          <w:lang w:val="en-GB"/>
        </w:rPr>
      </w:pPr>
    </w:p>
    <w:p w:rsidR="00BC538F" w:rsidRPr="00E933AB" w:rsidRDefault="00BC538F" w:rsidP="00BC538F">
      <w:pPr>
        <w:ind w:left="720" w:firstLine="720"/>
        <w:jc w:val="both"/>
        <w:rPr>
          <w:rFonts w:cs="Times New Roman"/>
          <w:b/>
          <w:lang w:val="en-GB"/>
        </w:rPr>
      </w:pPr>
      <w:r>
        <w:rPr>
          <w:rFonts w:cs="Times New Roman"/>
          <w:b/>
          <w:lang w:val="en-GB"/>
        </w:rPr>
        <w:t>introduction</w:t>
      </w:r>
    </w:p>
    <w:p w:rsidR="00C112DF" w:rsidRPr="00E933AB" w:rsidRDefault="00C112DF" w:rsidP="00BC538F">
      <w:pPr>
        <w:jc w:val="both"/>
        <w:rPr>
          <w:rFonts w:cs="Times New Roman"/>
          <w:b/>
          <w:lang w:val="en-GB"/>
        </w:rPr>
      </w:pPr>
    </w:p>
    <w:p w:rsidR="00C112DF" w:rsidRPr="00E933AB" w:rsidRDefault="00C112DF" w:rsidP="00BC538F">
      <w:pPr>
        <w:ind w:firstLine="720"/>
        <w:jc w:val="both"/>
        <w:rPr>
          <w:rFonts w:cs="Times New Roman"/>
          <w:lang w:val="en-GB"/>
        </w:rPr>
      </w:pPr>
      <w:r w:rsidRPr="00E933AB">
        <w:rPr>
          <w:rFonts w:cs="Times New Roman"/>
          <w:lang w:val="en-GB"/>
        </w:rPr>
        <w:t>Woolworths supermarket in Australia where consumers can purchase their day to day groceries and other items they need in their daily life. Along with Coles, Woolworths is one of Australia's biggest retailers and makes up 80% of Australia's Australian Retail. Since the time of its founding, Woolworths has set up about 981 retail branches. The business also provides consumers with the facility of online shopping, and customers can purchase their regular groceries by sitting inside the convenience of their homes. Woolworths strives to introduce fresh and creative innovations to keep its clients and staff happy with its activities. This report would concentrate on reviewing the company's human resource policies and would also focus on creating new Hr policies and practices That will include all of the concerns and challenges that were current in the previous system (Lee, 2018).</w:t>
      </w:r>
    </w:p>
    <w:p w:rsidR="00C112DF" w:rsidRPr="00E933AB" w:rsidRDefault="00C112DF" w:rsidP="00BC538F">
      <w:pPr>
        <w:pStyle w:val="ListParagraph"/>
        <w:numPr>
          <w:ilvl w:val="0"/>
          <w:numId w:val="4"/>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 xml:space="preserve">External and internal policy analysis </w:t>
      </w:r>
    </w:p>
    <w:p w:rsidR="00C112DF" w:rsidRPr="00E933AB" w:rsidRDefault="00C112DF" w:rsidP="00BC538F">
      <w:pPr>
        <w:ind w:firstLine="720"/>
        <w:jc w:val="both"/>
        <w:rPr>
          <w:rFonts w:cs="Times New Roman"/>
          <w:lang w:val="en-GB"/>
        </w:rPr>
      </w:pPr>
      <w:r w:rsidRPr="00E933AB">
        <w:rPr>
          <w:rFonts w:cs="Times New Roman"/>
          <w:lang w:val="en-GB"/>
        </w:rPr>
        <w:t>To work out the challenges in the company's current strategy, the domestic and foreign conflict review of the Woolworth Hr strategy was carried out:</w:t>
      </w:r>
    </w:p>
    <w:p w:rsidR="00C112DF" w:rsidRPr="00E933AB" w:rsidRDefault="00C112DF" w:rsidP="00BC538F">
      <w:pPr>
        <w:ind w:left="2160" w:firstLine="720"/>
        <w:jc w:val="both"/>
        <w:rPr>
          <w:rFonts w:cs="Times New Roman"/>
          <w:b/>
          <w:lang w:val="en-GB"/>
        </w:rPr>
      </w:pPr>
      <w:r w:rsidRPr="00E933AB">
        <w:rPr>
          <w:rFonts w:cs="Times New Roman"/>
          <w:b/>
          <w:lang w:val="en-GB"/>
        </w:rPr>
        <w:lastRenderedPageBreak/>
        <w:t xml:space="preserve">Internal issues analysis </w:t>
      </w:r>
    </w:p>
    <w:p w:rsidR="00C112DF" w:rsidRPr="00E933AB" w:rsidRDefault="00C112DF" w:rsidP="00BC538F">
      <w:pPr>
        <w:ind w:firstLine="720"/>
        <w:jc w:val="both"/>
        <w:rPr>
          <w:rFonts w:cs="Times New Roman"/>
          <w:lang w:val="en-GB"/>
        </w:rPr>
      </w:pPr>
      <w:r w:rsidRPr="00E933AB">
        <w:rPr>
          <w:rFonts w:cs="Times New Roman"/>
          <w:lang w:val="en-GB"/>
        </w:rPr>
        <w:t>Woolworths' corporate target is value maximization and customer loyalty. The organization makes sure to supply its consumers with the highest quality goods to attract customers for a long time. The organization often employs trained and professional workers for the position and provides them with sufficient preparation and orientation before starting their job. Special instruction is offered to the customer service personnel on procedures for communicating with clients and managing any customer concerns. However, by hiring more seasoned and professional HR administrators, the company's Human Resource Department needs improvement. They will be able to trace the right applicants for the job. To keep them happy, the company also provides its workers with competitive pay and bonuses and gives them financial incentives for their extraordinary results. The company's organizational culture is to hire workers from throughout the region (</w:t>
      </w:r>
      <w:proofErr w:type="spellStart"/>
      <w:r w:rsidRPr="00E933AB">
        <w:rPr>
          <w:rFonts w:cs="Times New Roman"/>
          <w:lang w:val="en-GB"/>
        </w:rPr>
        <w:t>Capano</w:t>
      </w:r>
      <w:proofErr w:type="spellEnd"/>
      <w:r w:rsidRPr="00E933AB">
        <w:rPr>
          <w:rFonts w:cs="Times New Roman"/>
          <w:lang w:val="en-GB"/>
        </w:rPr>
        <w:t>, 2020). The Woolworths corporation should not follow the culture of employee outsourcing. Outsourcing jobs from other nations offers the organization a chance to attract more experienced and trained employees who are more competent for the job. If anyone has done an incredible job, he is offered a bonus or promotion to remain inspired. The company's employees are handled ethically. From time to time, administrators are often provided training to handle the workers while using better techniques. By eliminating plastic bags and instead of selling consumers' clothing bags, the organization conducts its business under corporate social responsibility (Gash, 2015).</w:t>
      </w:r>
    </w:p>
    <w:p w:rsidR="00C112DF" w:rsidRPr="00E933AB" w:rsidRDefault="00C112DF" w:rsidP="00BC538F">
      <w:pPr>
        <w:ind w:left="1440" w:firstLine="720"/>
        <w:jc w:val="both"/>
        <w:rPr>
          <w:rFonts w:cs="Times New Roman"/>
          <w:b/>
          <w:lang w:val="en-GB"/>
        </w:rPr>
      </w:pPr>
      <w:r w:rsidRPr="00E933AB">
        <w:rPr>
          <w:rFonts w:cs="Times New Roman"/>
          <w:b/>
          <w:lang w:val="en-GB"/>
        </w:rPr>
        <w:t xml:space="preserve">External issue analysis </w:t>
      </w:r>
    </w:p>
    <w:p w:rsidR="00C112DF" w:rsidRPr="00E933AB" w:rsidRDefault="00C112DF" w:rsidP="00BC538F">
      <w:pPr>
        <w:ind w:firstLine="720"/>
        <w:jc w:val="both"/>
        <w:rPr>
          <w:rFonts w:cs="Times New Roman"/>
          <w:lang w:val="en-GB"/>
        </w:rPr>
      </w:pPr>
      <w:r w:rsidRPr="00E933AB">
        <w:rPr>
          <w:rFonts w:cs="Times New Roman"/>
          <w:lang w:val="en-GB"/>
        </w:rPr>
        <w:t xml:space="preserve">The Woolworths company's external review was carried out to examine any concerns regardless of the external conditions that need a change in its HR strategy. One of the biggest problems is the government's Australian legislation for recruiting workers for the job. The </w:t>
      </w:r>
      <w:r w:rsidRPr="00E933AB">
        <w:rPr>
          <w:rFonts w:cs="Times New Roman"/>
          <w:lang w:val="en-GB"/>
        </w:rPr>
        <w:lastRenderedPageBreak/>
        <w:t>legislation expects businesses to handle workers reasonably, and the law rejects discrimination in the workplace at recruiting and placement.</w:t>
      </w:r>
    </w:p>
    <w:p w:rsidR="00C112DF" w:rsidRPr="00E933AB" w:rsidRDefault="00C112DF" w:rsidP="00BC538F">
      <w:pPr>
        <w:ind w:firstLine="720"/>
        <w:jc w:val="both"/>
        <w:rPr>
          <w:rFonts w:cs="Times New Roman"/>
          <w:lang w:val="en-GB"/>
        </w:rPr>
      </w:pPr>
      <w:r w:rsidRPr="00E933AB">
        <w:rPr>
          <w:rFonts w:cs="Times New Roman"/>
          <w:lang w:val="en-GB"/>
        </w:rPr>
        <w:t>The government's recruiting and hiring program enforces employers to supply the required workers with positions right for the work and provide them with proper preparation and preparation before the commencement of the job and on-the-job learning. There are also rules on firing the employee from the position, and if an unfair dismissal takes place in the sector, the employee will sue the corporation for compensation. The organization should provide the employee for firing with a warning. There are also rules on the contract of employment, if the agreement is still valid, the worker can not leave the job, and the employer can not discharge the worker from the job (Marie, 2016).</w:t>
      </w:r>
    </w:p>
    <w:p w:rsidR="00C112DF" w:rsidRPr="00E933AB" w:rsidRDefault="00C112DF" w:rsidP="00BC538F">
      <w:pPr>
        <w:ind w:firstLine="720"/>
        <w:jc w:val="both"/>
        <w:rPr>
          <w:rFonts w:cs="Times New Roman"/>
          <w:lang w:val="en-GB"/>
        </w:rPr>
      </w:pPr>
      <w:r w:rsidRPr="00E933AB">
        <w:rPr>
          <w:rFonts w:cs="Times New Roman"/>
          <w:lang w:val="en-GB"/>
        </w:rPr>
        <w:t>The company's economic factors are also an external consideration that affects the company's HR strategy. When there is no industry on the market at the time of contraction, and very few consumers are willing to buy the firm's goods, the company limits the workers to decrease its total payroll expense.</w:t>
      </w:r>
    </w:p>
    <w:p w:rsidR="00C112DF" w:rsidRPr="00E933AB" w:rsidRDefault="00C112DF" w:rsidP="00BC538F">
      <w:pPr>
        <w:pStyle w:val="ListParagraph"/>
        <w:numPr>
          <w:ilvl w:val="3"/>
          <w:numId w:val="4"/>
        </w:numPr>
        <w:spacing w:line="480" w:lineRule="auto"/>
        <w:jc w:val="both"/>
        <w:rPr>
          <w:rFonts w:ascii="Times New Roman" w:hAnsi="Times New Roman" w:cs="Times New Roman"/>
          <w:b/>
          <w:lang w:val="en-GB"/>
        </w:rPr>
      </w:pPr>
      <w:r w:rsidRPr="00E933AB">
        <w:rPr>
          <w:rFonts w:ascii="Times New Roman" w:hAnsi="Times New Roman" w:cs="Times New Roman"/>
          <w:b/>
          <w:lang w:val="en-GB"/>
        </w:rPr>
        <w:t xml:space="preserve">High Priority Issues </w:t>
      </w:r>
    </w:p>
    <w:p w:rsidR="00C112DF" w:rsidRPr="00E933AB" w:rsidRDefault="00C112DF" w:rsidP="00BC538F">
      <w:pPr>
        <w:ind w:firstLine="720"/>
        <w:jc w:val="both"/>
        <w:rPr>
          <w:rFonts w:cs="Times New Roman"/>
          <w:lang w:val="en-GB"/>
        </w:rPr>
      </w:pPr>
      <w:r w:rsidRPr="00E933AB">
        <w:rPr>
          <w:rFonts w:cs="Times New Roman"/>
          <w:lang w:val="en-GB"/>
        </w:rPr>
        <w:t>Employee segregation is one of the critical problems to be resolved with the current strategy since the team is consistently hiring Australian citizens so that the new HR policy will fix this question of employer prejudice. The organization should hire employees from any ethnicity ethnic heritage.</w:t>
      </w:r>
    </w:p>
    <w:p w:rsidR="00C112DF" w:rsidRPr="00E933AB" w:rsidRDefault="00C112DF" w:rsidP="00BC538F">
      <w:pPr>
        <w:ind w:firstLine="720"/>
        <w:jc w:val="both"/>
        <w:rPr>
          <w:rFonts w:cs="Times New Roman"/>
          <w:lang w:val="en-GB"/>
        </w:rPr>
      </w:pPr>
    </w:p>
    <w:p w:rsidR="00C112DF" w:rsidRPr="00E933AB" w:rsidRDefault="00C112DF" w:rsidP="00BC538F">
      <w:pPr>
        <w:ind w:firstLine="720"/>
        <w:jc w:val="both"/>
        <w:rPr>
          <w:rFonts w:cs="Times New Roman"/>
          <w:lang w:val="en-GB"/>
        </w:rPr>
      </w:pPr>
    </w:p>
    <w:p w:rsidR="00C112DF" w:rsidRPr="00E933AB" w:rsidRDefault="00C112DF" w:rsidP="00BC538F">
      <w:pPr>
        <w:pStyle w:val="ListParagraph"/>
        <w:numPr>
          <w:ilvl w:val="3"/>
          <w:numId w:val="4"/>
        </w:numPr>
        <w:spacing w:line="480" w:lineRule="auto"/>
        <w:jc w:val="both"/>
        <w:rPr>
          <w:rFonts w:ascii="Times New Roman" w:hAnsi="Times New Roman" w:cs="Times New Roman"/>
          <w:b/>
          <w:lang w:val="en-GB"/>
        </w:rPr>
      </w:pPr>
      <w:r w:rsidRPr="00E933AB">
        <w:rPr>
          <w:rFonts w:ascii="Times New Roman" w:hAnsi="Times New Roman" w:cs="Times New Roman"/>
          <w:b/>
          <w:lang w:val="en-GB"/>
        </w:rPr>
        <w:t>Policy Problem</w:t>
      </w:r>
    </w:p>
    <w:p w:rsidR="00C112DF" w:rsidRPr="00E933AB" w:rsidRDefault="00C112DF" w:rsidP="00BC538F">
      <w:pPr>
        <w:ind w:firstLine="720"/>
        <w:jc w:val="both"/>
        <w:rPr>
          <w:rFonts w:cs="Times New Roman"/>
          <w:lang w:val="en-GB"/>
        </w:rPr>
      </w:pPr>
      <w:r w:rsidRPr="00E933AB">
        <w:rPr>
          <w:rFonts w:cs="Times New Roman"/>
          <w:lang w:val="en-GB"/>
        </w:rPr>
        <w:lastRenderedPageBreak/>
        <w:t>The concerns with the present legislation are there is little specified in the worker proper protection policy, and all workers should be handled morally regardless of the country or legal context with which they are.</w:t>
      </w:r>
    </w:p>
    <w:p w:rsidR="00C112DF" w:rsidRPr="00E933AB" w:rsidRDefault="00C112DF" w:rsidP="00BC538F">
      <w:pPr>
        <w:ind w:firstLine="720"/>
        <w:jc w:val="both"/>
        <w:rPr>
          <w:rFonts w:cs="Times New Roman"/>
          <w:b/>
          <w:lang w:val="en-GB"/>
        </w:rPr>
      </w:pPr>
    </w:p>
    <w:p w:rsidR="00C112DF" w:rsidRPr="00E933AB" w:rsidRDefault="00C112DF" w:rsidP="0051622F">
      <w:pPr>
        <w:ind w:left="2160" w:firstLine="720"/>
        <w:jc w:val="both"/>
        <w:rPr>
          <w:rFonts w:cs="Times New Roman"/>
          <w:b/>
          <w:lang w:val="en-GB"/>
        </w:rPr>
      </w:pPr>
      <w:r w:rsidRPr="00E933AB">
        <w:rPr>
          <w:rFonts w:cs="Times New Roman"/>
          <w:b/>
          <w:lang w:val="en-GB"/>
        </w:rPr>
        <w:t xml:space="preserve"> Policy Development</w:t>
      </w:r>
    </w:p>
    <w:p w:rsidR="00C112DF" w:rsidRPr="00E933AB" w:rsidRDefault="00C112DF" w:rsidP="00BC538F">
      <w:pPr>
        <w:pStyle w:val="ListParagraph"/>
        <w:numPr>
          <w:ilvl w:val="0"/>
          <w:numId w:val="1"/>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 xml:space="preserve">Overview </w:t>
      </w:r>
    </w:p>
    <w:p w:rsidR="00C112DF" w:rsidRPr="00E933AB" w:rsidRDefault="00C112DF" w:rsidP="00BC538F">
      <w:pPr>
        <w:ind w:firstLine="720"/>
        <w:jc w:val="both"/>
        <w:rPr>
          <w:rFonts w:cs="Times New Roman"/>
          <w:lang w:val="en-GB"/>
        </w:rPr>
      </w:pPr>
      <w:r w:rsidRPr="00E933AB">
        <w:rPr>
          <w:rFonts w:cs="Times New Roman"/>
          <w:lang w:val="en-GB"/>
        </w:rPr>
        <w:t xml:space="preserve">This strategy is built for Woolworths company's recruiting and screening of the job's best applicants. The proposal outlines all the procedures that the HR workers would take throughout the recruiting and selection process. This current </w:t>
      </w:r>
      <w:proofErr w:type="spellStart"/>
      <w:r w:rsidRPr="00E933AB">
        <w:rPr>
          <w:rFonts w:cs="Times New Roman"/>
          <w:lang w:val="en-GB"/>
        </w:rPr>
        <w:t>PolicyPolicy</w:t>
      </w:r>
      <w:proofErr w:type="spellEnd"/>
      <w:r w:rsidRPr="00E933AB">
        <w:rPr>
          <w:rFonts w:cs="Times New Roman"/>
          <w:lang w:val="en-GB"/>
        </w:rPr>
        <w:t xml:space="preserve"> also solves the concerns that were found in Woolworths' previous HR strategy. For effective recruiting and selection of workers in the company, this </w:t>
      </w:r>
      <w:proofErr w:type="spellStart"/>
      <w:r w:rsidRPr="00E933AB">
        <w:rPr>
          <w:rFonts w:cs="Times New Roman"/>
          <w:lang w:val="en-GB"/>
        </w:rPr>
        <w:t>PolicyPolicy</w:t>
      </w:r>
      <w:proofErr w:type="spellEnd"/>
      <w:r w:rsidRPr="00E933AB">
        <w:rPr>
          <w:rFonts w:cs="Times New Roman"/>
          <w:lang w:val="en-GB"/>
        </w:rPr>
        <w:t xml:space="preserve"> was implemented. The workers must be hired equally based on merit. The system is primarily generated for the company's employees and HR personnel. This strategy is essentially designed to engage and select to meet the Woolworths company's employee bias dilemma. The HR supervisors and all the workers participating in the recruiting process must hire the right employees for the company at the time of selection and recruitment, no longer where they are from. The company's workers should all be handled equally and ethically. The company can also provide activities for the health and welfare of personnel. All safety devices should be provided to all workers to do their jobs (</w:t>
      </w:r>
      <w:proofErr w:type="spellStart"/>
      <w:r w:rsidRPr="00E933AB">
        <w:rPr>
          <w:rFonts w:cs="Times New Roman"/>
          <w:lang w:val="en-GB"/>
        </w:rPr>
        <w:t>Gavrel</w:t>
      </w:r>
      <w:proofErr w:type="spellEnd"/>
      <w:r w:rsidRPr="00E933AB">
        <w:rPr>
          <w:rFonts w:cs="Times New Roman"/>
          <w:lang w:val="en-GB"/>
        </w:rPr>
        <w:t>, 2015) effectively.</w:t>
      </w:r>
    </w:p>
    <w:p w:rsidR="00C112DF" w:rsidRPr="00E933AB" w:rsidRDefault="00C112DF" w:rsidP="00BC538F">
      <w:pPr>
        <w:pStyle w:val="ListParagraph"/>
        <w:numPr>
          <w:ilvl w:val="0"/>
          <w:numId w:val="1"/>
        </w:numPr>
        <w:spacing w:line="480" w:lineRule="auto"/>
        <w:ind w:firstLine="720"/>
        <w:jc w:val="both"/>
        <w:rPr>
          <w:rFonts w:ascii="Times New Roman" w:hAnsi="Times New Roman" w:cs="Times New Roman"/>
          <w:lang w:val="en-GB"/>
        </w:rPr>
      </w:pPr>
      <w:r w:rsidRPr="00E933AB">
        <w:rPr>
          <w:rFonts w:ascii="Times New Roman" w:hAnsi="Times New Roman" w:cs="Times New Roman"/>
          <w:b/>
          <w:lang w:val="en-GB"/>
        </w:rPr>
        <w:t>Scope</w:t>
      </w:r>
    </w:p>
    <w:p w:rsidR="00C112DF" w:rsidRPr="00E933AB" w:rsidRDefault="00C112DF" w:rsidP="00BC538F">
      <w:pPr>
        <w:ind w:firstLine="720"/>
        <w:jc w:val="both"/>
        <w:rPr>
          <w:rFonts w:cs="Times New Roman"/>
          <w:lang w:val="en-GB"/>
        </w:rPr>
      </w:pPr>
      <w:r w:rsidRPr="00E933AB">
        <w:rPr>
          <w:rFonts w:cs="Times New Roman"/>
          <w:b/>
          <w:lang w:val="en-GB"/>
        </w:rPr>
        <w:t xml:space="preserve"> </w:t>
      </w:r>
      <w:r w:rsidRPr="00E933AB">
        <w:rPr>
          <w:rFonts w:cs="Times New Roman"/>
          <w:lang w:val="en-GB"/>
        </w:rPr>
        <w:t>This new recruiting and hiring strategy extend to all employers stepping into the recruitment process and the HR supervisors and all other team members.</w:t>
      </w:r>
    </w:p>
    <w:p w:rsidR="00C112DF" w:rsidRPr="00E933AB" w:rsidRDefault="00C112DF" w:rsidP="00BC538F">
      <w:pPr>
        <w:pStyle w:val="ListParagraph"/>
        <w:spacing w:line="480" w:lineRule="auto"/>
        <w:ind w:firstLine="720"/>
        <w:jc w:val="both"/>
        <w:rPr>
          <w:rFonts w:ascii="Times New Roman" w:hAnsi="Times New Roman" w:cs="Times New Roman"/>
          <w:b/>
          <w:lang w:val="en-GB"/>
        </w:rPr>
      </w:pPr>
    </w:p>
    <w:p w:rsidR="00C112DF" w:rsidRPr="00E933AB" w:rsidRDefault="00C112DF" w:rsidP="00BC538F">
      <w:pPr>
        <w:pStyle w:val="ListParagraph"/>
        <w:numPr>
          <w:ilvl w:val="0"/>
          <w:numId w:val="1"/>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Policy statement</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lastRenderedPageBreak/>
        <w:t>I. To add a change to the organization, the corporation must select workers from the most extensive available pool.</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 xml:space="preserve"> II. The business seeks to hire and employ employees from various backgrounds and cultures with varied abilities and talents to increase its level of operation.</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 xml:space="preserve">III. The organization is also focused on supplying workers from diverse fields with career openings for advancement in the employees' human resources department. </w:t>
      </w:r>
    </w:p>
    <w:p w:rsidR="00C112DF" w:rsidRPr="00E933AB" w:rsidRDefault="00C112DF" w:rsidP="00BC538F">
      <w:pPr>
        <w:ind w:firstLine="720"/>
        <w:jc w:val="both"/>
        <w:rPr>
          <w:rFonts w:cs="Times New Roman"/>
          <w:lang w:val="en-GB"/>
        </w:rPr>
      </w:pPr>
    </w:p>
    <w:p w:rsidR="00C112DF" w:rsidRPr="00E933AB" w:rsidRDefault="00C112DF" w:rsidP="00BC538F">
      <w:pPr>
        <w:pStyle w:val="ListParagraph"/>
        <w:numPr>
          <w:ilvl w:val="0"/>
          <w:numId w:val="1"/>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Legislation</w:t>
      </w:r>
    </w:p>
    <w:p w:rsidR="00C112DF" w:rsidRPr="00E933AB" w:rsidRDefault="00C112DF" w:rsidP="00BC538F">
      <w:pPr>
        <w:ind w:left="360" w:firstLine="720"/>
        <w:jc w:val="both"/>
        <w:rPr>
          <w:rFonts w:cs="Times New Roman"/>
          <w:b/>
          <w:lang w:val="en-GB"/>
        </w:rPr>
      </w:pPr>
      <w:r w:rsidRPr="00E933AB">
        <w:rPr>
          <w:rFonts w:cs="Times New Roman"/>
          <w:lang w:val="en-GB"/>
        </w:rPr>
        <w:t>The Australian government regulations are used in this Human Resource Strategy, and the company's Human Resource Department shall comply with the work laws at the time of the recruiting process. It is essential to consider all people who have applied for a job in the business legally. Employment dependent on merit should be granted to them, and neither applicant should be prioritized but for his credentials and experience. To handle its workers ethically and equally, the firm should adhere to the ethical code of ethics. The organization must also comply with human rights legislation (Al-</w:t>
      </w:r>
      <w:proofErr w:type="spellStart"/>
      <w:r w:rsidRPr="00E933AB">
        <w:rPr>
          <w:rFonts w:cs="Times New Roman"/>
          <w:lang w:val="en-GB"/>
        </w:rPr>
        <w:t>Kassem</w:t>
      </w:r>
      <w:proofErr w:type="spellEnd"/>
      <w:r w:rsidRPr="00E933AB">
        <w:rPr>
          <w:rFonts w:cs="Times New Roman"/>
          <w:lang w:val="en-GB"/>
        </w:rPr>
        <w:t>, 2017).</w:t>
      </w:r>
    </w:p>
    <w:p w:rsidR="00C112DF" w:rsidRPr="00E933AB" w:rsidRDefault="00C112DF" w:rsidP="00BC538F">
      <w:pPr>
        <w:ind w:firstLine="720"/>
        <w:jc w:val="both"/>
        <w:rPr>
          <w:rFonts w:cs="Times New Roman"/>
          <w:b/>
          <w:lang w:val="en-GB"/>
        </w:rPr>
      </w:pPr>
      <w:r w:rsidRPr="00E933AB">
        <w:rPr>
          <w:rFonts w:cs="Times New Roman"/>
          <w:b/>
          <w:lang w:val="en-GB"/>
        </w:rPr>
        <w:t xml:space="preserve">Process </w:t>
      </w:r>
    </w:p>
    <w:p w:rsidR="00C112DF" w:rsidRPr="00E933AB" w:rsidRDefault="00C112DF" w:rsidP="00BC538F">
      <w:pPr>
        <w:ind w:left="360" w:firstLine="720"/>
        <w:jc w:val="both"/>
        <w:rPr>
          <w:rFonts w:cs="Times New Roman"/>
          <w:lang w:val="en-GB"/>
        </w:rPr>
      </w:pPr>
      <w:r w:rsidRPr="00E933AB">
        <w:rPr>
          <w:rFonts w:cs="Times New Roman"/>
          <w:lang w:val="en-GB"/>
        </w:rPr>
        <w:t>The recruiting and selection process consists of various stages that the Human Resource Department must undertake as the recruitment and selection process is carried out. The following are these phases:</w:t>
      </w:r>
    </w:p>
    <w:p w:rsidR="00C112DF" w:rsidRPr="00E933AB" w:rsidRDefault="00C112DF" w:rsidP="00BC538F">
      <w:pPr>
        <w:ind w:left="360" w:firstLine="720"/>
        <w:jc w:val="both"/>
        <w:rPr>
          <w:rFonts w:cs="Times New Roman"/>
          <w:lang w:val="en-GB"/>
        </w:rPr>
      </w:pPr>
    </w:p>
    <w:p w:rsidR="00C112DF" w:rsidRPr="00E933AB" w:rsidRDefault="00C112DF" w:rsidP="00BC538F">
      <w:pPr>
        <w:ind w:left="360" w:firstLine="720"/>
        <w:jc w:val="both"/>
        <w:rPr>
          <w:rFonts w:cs="Times New Roman"/>
          <w:lang w:val="en-GB"/>
        </w:rPr>
      </w:pPr>
    </w:p>
    <w:p w:rsidR="00C112DF" w:rsidRPr="00E933AB" w:rsidRDefault="00C112DF" w:rsidP="00BC538F">
      <w:pPr>
        <w:ind w:left="360" w:firstLine="720"/>
        <w:jc w:val="both"/>
        <w:rPr>
          <w:rFonts w:cs="Times New Roman"/>
          <w:lang w:val="en-GB"/>
        </w:rPr>
      </w:pPr>
    </w:p>
    <w:p w:rsidR="00C112DF" w:rsidRPr="00E933AB" w:rsidRDefault="00C112DF" w:rsidP="00BC538F">
      <w:pPr>
        <w:ind w:left="360" w:firstLine="720"/>
        <w:jc w:val="both"/>
        <w:rPr>
          <w:rFonts w:cs="Times New Roman"/>
          <w:lang w:val="en-GB"/>
        </w:rPr>
      </w:pPr>
    </w:p>
    <w:p w:rsidR="00C112DF" w:rsidRPr="00E933AB" w:rsidRDefault="00C112DF" w:rsidP="00BC538F">
      <w:pPr>
        <w:ind w:firstLine="720"/>
        <w:jc w:val="both"/>
        <w:rPr>
          <w:rFonts w:cs="Times New Roman"/>
          <w:b/>
          <w:lang w:val="en-GB"/>
        </w:rPr>
      </w:pPr>
      <w:r w:rsidRPr="00E933AB">
        <w:rPr>
          <w:rFonts w:cs="Times New Roman"/>
          <w:b/>
          <w:lang w:val="en-GB"/>
        </w:rPr>
        <w:t>Flow chart of Recruitment and Selection Process</w:t>
      </w:r>
    </w:p>
    <w:p w:rsidR="00C112DF" w:rsidRPr="00E933AB" w:rsidRDefault="00C112DF" w:rsidP="00BC538F">
      <w:pPr>
        <w:ind w:firstLine="720"/>
        <w:jc w:val="both"/>
        <w:rPr>
          <w:rFonts w:cs="Times New Roman"/>
          <w:lang w:val="en-GB"/>
        </w:rPr>
      </w:pPr>
      <w:r w:rsidRPr="00E933AB">
        <w:rPr>
          <w:rFonts w:cs="Times New Roman"/>
          <w:noProof/>
        </w:rPr>
        <w:lastRenderedPageBreak/>
        <w:drawing>
          <wp:inline distT="0" distB="0" distL="0" distR="0" wp14:anchorId="20E332A7" wp14:editId="471B06D6">
            <wp:extent cx="5486400" cy="3200400"/>
            <wp:effectExtent l="95250" t="38100" r="95250" b="952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C112DF" w:rsidRPr="00E933AB" w:rsidRDefault="00C112DF" w:rsidP="00BC538F">
      <w:pPr>
        <w:ind w:firstLine="720"/>
        <w:jc w:val="both"/>
        <w:rPr>
          <w:rFonts w:cs="Times New Roman"/>
          <w:b/>
          <w:lang w:val="en-GB"/>
        </w:rPr>
      </w:pPr>
    </w:p>
    <w:p w:rsidR="00C112DF" w:rsidRPr="00E933AB" w:rsidRDefault="00C112DF" w:rsidP="00BC538F">
      <w:pPr>
        <w:ind w:firstLine="720"/>
        <w:jc w:val="both"/>
        <w:rPr>
          <w:rFonts w:cs="Times New Roman"/>
          <w:lang w:val="en-GB"/>
        </w:rPr>
      </w:pPr>
      <w:r w:rsidRPr="00E933AB">
        <w:rPr>
          <w:rFonts w:cs="Times New Roman"/>
          <w:lang w:val="en-GB"/>
        </w:rPr>
        <w:t>Source: ( author)</w:t>
      </w:r>
    </w:p>
    <w:p w:rsidR="00C112DF" w:rsidRPr="00E933AB" w:rsidRDefault="00C112DF" w:rsidP="00BC538F">
      <w:pPr>
        <w:ind w:firstLine="720"/>
        <w:jc w:val="both"/>
        <w:rPr>
          <w:rFonts w:cs="Times New Roman"/>
          <w:b/>
          <w:lang w:val="en-GB"/>
        </w:rPr>
      </w:pPr>
    </w:p>
    <w:p w:rsidR="00C112DF" w:rsidRPr="00E933AB" w:rsidRDefault="00C112DF" w:rsidP="00BC538F">
      <w:pPr>
        <w:ind w:firstLine="720"/>
        <w:jc w:val="both"/>
        <w:rPr>
          <w:rFonts w:cs="Times New Roman"/>
          <w:b/>
          <w:lang w:val="en-GB"/>
        </w:rPr>
      </w:pPr>
    </w:p>
    <w:p w:rsidR="00C112DF" w:rsidRPr="00E933AB" w:rsidRDefault="00C112DF" w:rsidP="00BC538F">
      <w:pPr>
        <w:ind w:firstLine="720"/>
        <w:jc w:val="both"/>
        <w:rPr>
          <w:rFonts w:cs="Times New Roman"/>
          <w:b/>
          <w:lang w:val="en-GB"/>
        </w:rPr>
      </w:pPr>
    </w:p>
    <w:p w:rsidR="00C112DF" w:rsidRPr="00E933AB" w:rsidRDefault="00C112DF" w:rsidP="00BC538F">
      <w:pPr>
        <w:pStyle w:val="ListParagraph"/>
        <w:numPr>
          <w:ilvl w:val="0"/>
          <w:numId w:val="5"/>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Identification of the need for hiring</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First of all, if there were any jobs available or if any staff member were to leave the organization soon, there will be a need to hire staff in his position. The need for recruitment would be established. It is the Human Resource Manager's job to start the recruitment process to recruit new employees for the accomplishment of the vacant role. Permission to begin the recruitment process must be obtained from the director of the organization (Vincent, 2019)</w:t>
      </w:r>
    </w:p>
    <w:p w:rsidR="00C112DF" w:rsidRPr="00E933AB" w:rsidRDefault="00C112DF" w:rsidP="00BC538F">
      <w:pPr>
        <w:pStyle w:val="ListParagraph"/>
        <w:spacing w:line="480" w:lineRule="auto"/>
        <w:ind w:firstLine="720"/>
        <w:jc w:val="both"/>
        <w:rPr>
          <w:rFonts w:ascii="Times New Roman" w:hAnsi="Times New Roman" w:cs="Times New Roman"/>
          <w:b/>
          <w:lang w:val="en-GB"/>
        </w:rPr>
      </w:pPr>
      <w:r w:rsidRPr="00E933AB">
        <w:rPr>
          <w:rFonts w:ascii="Times New Roman" w:hAnsi="Times New Roman" w:cs="Times New Roman"/>
          <w:lang w:val="en-GB"/>
        </w:rPr>
        <w:t xml:space="preserve">.• </w:t>
      </w:r>
      <w:r w:rsidRPr="00E933AB">
        <w:rPr>
          <w:rFonts w:ascii="Times New Roman" w:hAnsi="Times New Roman" w:cs="Times New Roman"/>
          <w:b/>
          <w:lang w:val="en-GB"/>
        </w:rPr>
        <w:t>Job summary description</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lastRenderedPageBreak/>
        <w:t>The next move is to note down the vacant position's job description. In the company's work description, the job position and the employee's roles are described. The job title is a text that is a crucial document in the process of recruiting. The HR manager writes the role summary of the current job role. The expertise, credentials, and experience necessary for the position are all listed in that form.</w:t>
      </w:r>
    </w:p>
    <w:p w:rsidR="00C112DF" w:rsidRPr="00E933AB" w:rsidRDefault="00C112DF" w:rsidP="00BC538F">
      <w:pPr>
        <w:pStyle w:val="ListParagraph"/>
        <w:numPr>
          <w:ilvl w:val="0"/>
          <w:numId w:val="2"/>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Advertisement of the vacancy</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The work position announcement is performed both internally and publicly in the organization. The team members who are eligible and needed to be promoted to the new role are then asked to apply for that job position in the internal job advertising, and then they can be taken for that job role if they are qualified.</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However, to recruit the right applicants for the job, external job recruitment is carried out on the firm's website, in print media, and on media platforms. Besides well as indeed.com and several other related blogs, the company also advertises the position announcement on separate career search websites. In the advertising, the job description and the credentials and skills needed for the job are all listed. The salaries and benefits given to the employees by the employer are also named in the job advert so that the applicants know all the specifics of the job before considering the application (Nawaz, 2019)</w:t>
      </w:r>
    </w:p>
    <w:p w:rsidR="00C112DF" w:rsidRPr="00E933AB" w:rsidRDefault="00C112DF" w:rsidP="00BC538F">
      <w:pPr>
        <w:pStyle w:val="ListParagraph"/>
        <w:numPr>
          <w:ilvl w:val="0"/>
          <w:numId w:val="5"/>
        </w:numPr>
        <w:spacing w:line="480" w:lineRule="auto"/>
        <w:ind w:firstLine="720"/>
        <w:jc w:val="both"/>
        <w:rPr>
          <w:rFonts w:ascii="Times New Roman" w:hAnsi="Times New Roman" w:cs="Times New Roman"/>
          <w:lang w:val="en-GB"/>
        </w:rPr>
      </w:pPr>
      <w:r w:rsidRPr="00E933AB">
        <w:rPr>
          <w:rFonts w:ascii="Times New Roman" w:hAnsi="Times New Roman" w:cs="Times New Roman"/>
          <w:b/>
          <w:lang w:val="en-GB"/>
        </w:rPr>
        <w:t>Request and shortlisting</w:t>
      </w:r>
      <w:r w:rsidRPr="00E933AB">
        <w:rPr>
          <w:rFonts w:ascii="Times New Roman" w:hAnsi="Times New Roman" w:cs="Times New Roman"/>
          <w:lang w:val="en-GB"/>
        </w:rPr>
        <w:t xml:space="preserve"> </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 xml:space="preserve">In the selection and shortlisting stage, the applicants' applications will be accepted by the company. Human resource professionals select the candidates on the grounds of their qualifications, skills, and experience. Some measures are often carried out to shortlist the qualified talent for interviews, such as written tests. The letters of invitation to engage </w:t>
      </w:r>
      <w:r w:rsidRPr="00E933AB">
        <w:rPr>
          <w:rFonts w:ascii="Times New Roman" w:hAnsi="Times New Roman" w:cs="Times New Roman"/>
          <w:lang w:val="en-GB"/>
        </w:rPr>
        <w:lastRenderedPageBreak/>
        <w:t>in the talks are submitted by applicants who have the necessary qualifications and have already passed the written examination.</w:t>
      </w:r>
    </w:p>
    <w:p w:rsidR="00C112DF" w:rsidRPr="00E933AB" w:rsidRDefault="00C112DF" w:rsidP="00BC538F">
      <w:pPr>
        <w:pStyle w:val="ListParagraph"/>
        <w:numPr>
          <w:ilvl w:val="0"/>
          <w:numId w:val="5"/>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Selection and Interview</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They are asked to come in for an interview once the applicants have carried the practical examination, and they also have the appropriate skills and qualifications. There is a squad of human resources managers during the interview who conduct a study. In the meeting, the managers ask the applicants different types of questions. The candidates who pass the interviews successfully are then chosen for the job.</w:t>
      </w:r>
    </w:p>
    <w:p w:rsidR="00C112DF" w:rsidRPr="00E933AB" w:rsidRDefault="00C112DF" w:rsidP="00BC538F">
      <w:pPr>
        <w:ind w:firstLine="720"/>
        <w:jc w:val="both"/>
        <w:rPr>
          <w:rFonts w:cs="Times New Roman"/>
          <w:b/>
          <w:lang w:val="en-GB"/>
        </w:rPr>
      </w:pPr>
      <w:r w:rsidRPr="00E933AB">
        <w:rPr>
          <w:rFonts w:cs="Times New Roman"/>
          <w:b/>
          <w:lang w:val="en-GB"/>
        </w:rPr>
        <w:t>• New staff appointment</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The selected candidate shall be called on the work environment after choosing the best candidate for the position, and a guaranteed job notice must be given to him. Both the employer and the candidate must sign an employment contract before joining the job.</w:t>
      </w:r>
    </w:p>
    <w:p w:rsidR="00C112DF" w:rsidRPr="00E933AB" w:rsidRDefault="00C112DF" w:rsidP="00BC538F">
      <w:pPr>
        <w:ind w:firstLine="720"/>
        <w:jc w:val="both"/>
        <w:rPr>
          <w:rFonts w:cs="Times New Roman"/>
          <w:b/>
          <w:lang w:val="en-GB"/>
        </w:rPr>
      </w:pPr>
      <w:r w:rsidRPr="00E933AB">
        <w:rPr>
          <w:rFonts w:cs="Times New Roman"/>
          <w:b/>
          <w:lang w:val="en-GB"/>
        </w:rPr>
        <w:t>• Fair possibilities</w:t>
      </w:r>
    </w:p>
    <w:p w:rsidR="00C112DF" w:rsidRPr="00E933AB" w:rsidRDefault="00C112DF" w:rsidP="00BC538F">
      <w:pPr>
        <w:ind w:firstLine="720"/>
        <w:jc w:val="both"/>
        <w:rPr>
          <w:rFonts w:cs="Times New Roman"/>
          <w:lang w:val="en-GB"/>
        </w:rPr>
      </w:pPr>
      <w:r w:rsidRPr="00E933AB">
        <w:rPr>
          <w:rFonts w:cs="Times New Roman"/>
          <w:lang w:val="en-GB"/>
        </w:rPr>
        <w:t xml:space="preserve">Fair chances to apply for the position are offered to both team members and applicants who have been chosen for the job. The quota for disabled people who may apply for the position must still be open, and the employer must </w:t>
      </w:r>
      <w:proofErr w:type="spellStart"/>
      <w:r w:rsidRPr="00E933AB">
        <w:rPr>
          <w:rFonts w:cs="Times New Roman"/>
          <w:lang w:val="en-GB"/>
        </w:rPr>
        <w:t>fulfill</w:t>
      </w:r>
      <w:proofErr w:type="spellEnd"/>
      <w:r w:rsidRPr="00E933AB">
        <w:rPr>
          <w:rFonts w:cs="Times New Roman"/>
          <w:lang w:val="en-GB"/>
        </w:rPr>
        <w:t xml:space="preserve"> any specific conditions they seek.</w:t>
      </w:r>
    </w:p>
    <w:p w:rsidR="00C112DF" w:rsidRPr="00E933AB" w:rsidRDefault="00C112DF" w:rsidP="00BC538F">
      <w:pPr>
        <w:pStyle w:val="ListParagraph"/>
        <w:numPr>
          <w:ilvl w:val="0"/>
          <w:numId w:val="1"/>
        </w:numPr>
        <w:spacing w:line="480" w:lineRule="auto"/>
        <w:ind w:firstLine="720"/>
        <w:jc w:val="both"/>
        <w:rPr>
          <w:rFonts w:ascii="Times New Roman" w:hAnsi="Times New Roman" w:cs="Times New Roman"/>
          <w:b/>
          <w:lang w:val="en-GB"/>
        </w:rPr>
      </w:pPr>
      <w:r w:rsidRPr="00E933AB">
        <w:rPr>
          <w:rFonts w:ascii="Times New Roman" w:hAnsi="Times New Roman" w:cs="Times New Roman"/>
          <w:b/>
          <w:lang w:val="en-GB"/>
        </w:rPr>
        <w:t>Accountabilities</w:t>
      </w:r>
    </w:p>
    <w:p w:rsidR="00C112DF" w:rsidRPr="00E933AB" w:rsidRDefault="00C112DF" w:rsidP="00BC538F">
      <w:pPr>
        <w:pStyle w:val="ListParagraph"/>
        <w:spacing w:line="480" w:lineRule="auto"/>
        <w:ind w:firstLine="720"/>
        <w:jc w:val="both"/>
        <w:rPr>
          <w:rFonts w:ascii="Times New Roman" w:hAnsi="Times New Roman" w:cs="Times New Roman"/>
          <w:lang w:val="en-GB"/>
        </w:rPr>
      </w:pPr>
      <w:r w:rsidRPr="00E933AB">
        <w:rPr>
          <w:rFonts w:ascii="Times New Roman" w:hAnsi="Times New Roman" w:cs="Times New Roman"/>
          <w:lang w:val="en-GB"/>
        </w:rPr>
        <w:t>All supervisors, the recruitment and selection board, and the resource team are responsible for following every recruitment process stage and implementing this recruitment policy. The recruiting committee functions must be split between the numerous employees who are involved in the recruiting process (</w:t>
      </w:r>
      <w:proofErr w:type="spellStart"/>
      <w:r w:rsidRPr="00E933AB">
        <w:rPr>
          <w:rFonts w:ascii="Times New Roman" w:hAnsi="Times New Roman" w:cs="Times New Roman"/>
          <w:lang w:val="en-GB"/>
        </w:rPr>
        <w:t>Rimmer</w:t>
      </w:r>
      <w:proofErr w:type="spellEnd"/>
      <w:r w:rsidRPr="00E933AB">
        <w:rPr>
          <w:rFonts w:ascii="Times New Roman" w:hAnsi="Times New Roman" w:cs="Times New Roman"/>
          <w:lang w:val="en-GB"/>
        </w:rPr>
        <w:t>, 2020)</w:t>
      </w:r>
    </w:p>
    <w:p w:rsidR="00C112DF" w:rsidRPr="00E933AB" w:rsidRDefault="00C112DF" w:rsidP="00BC538F">
      <w:pPr>
        <w:ind w:firstLine="720"/>
        <w:jc w:val="both"/>
        <w:rPr>
          <w:rFonts w:cs="Times New Roman"/>
          <w:b/>
          <w:lang w:val="en-GB"/>
        </w:rPr>
      </w:pPr>
      <w:r w:rsidRPr="00E933AB">
        <w:rPr>
          <w:rFonts w:cs="Times New Roman"/>
          <w:b/>
          <w:lang w:val="en-GB"/>
        </w:rPr>
        <w:t>6.Measures of Evaluation</w:t>
      </w:r>
    </w:p>
    <w:p w:rsidR="00C112DF" w:rsidRDefault="00C112DF" w:rsidP="00BC538F">
      <w:pPr>
        <w:ind w:firstLine="720"/>
        <w:jc w:val="both"/>
        <w:rPr>
          <w:rFonts w:cs="Times New Roman"/>
          <w:lang w:val="en-GB"/>
        </w:rPr>
      </w:pPr>
      <w:r w:rsidRPr="00E933AB">
        <w:rPr>
          <w:rFonts w:cs="Times New Roman"/>
          <w:lang w:val="en-GB"/>
        </w:rPr>
        <w:t xml:space="preserve">The HR policy's effectiveness will be evaluated through the use of the company's performance review framework. The performance of each staff member will be assessed from time </w:t>
      </w:r>
      <w:r w:rsidRPr="00E933AB">
        <w:rPr>
          <w:rFonts w:cs="Times New Roman"/>
          <w:lang w:val="en-GB"/>
        </w:rPr>
        <w:lastRenderedPageBreak/>
        <w:t>to time. Worker reviews would also be acquired, and the human resources department's overall success would be evaluated every quarter, and then improvements in the recruitment and hiring strategy would be made if necessary (Mindia,</w:t>
      </w:r>
      <w:r w:rsidR="00BC538F">
        <w:rPr>
          <w:rFonts w:cs="Times New Roman"/>
          <w:lang w:val="en-GB"/>
        </w:rPr>
        <w:t>2O2O)</w:t>
      </w:r>
    </w:p>
    <w:p w:rsidR="00C112DF" w:rsidRDefault="00C112DF" w:rsidP="00C112DF">
      <w:pPr>
        <w:spacing w:line="360" w:lineRule="auto"/>
        <w:jc w:val="both"/>
        <w:rPr>
          <w:rFonts w:cs="Times New Roman"/>
          <w:b/>
          <w:sz w:val="28"/>
          <w:szCs w:val="28"/>
          <w:lang w:val="en-GB"/>
        </w:rPr>
      </w:pPr>
    </w:p>
    <w:p w:rsidR="00C112DF" w:rsidRDefault="00C112DF" w:rsidP="00C112DF">
      <w:pPr>
        <w:spacing w:line="360" w:lineRule="auto"/>
        <w:jc w:val="both"/>
        <w:rPr>
          <w:rFonts w:cs="Times New Roman"/>
          <w:b/>
          <w:sz w:val="28"/>
          <w:szCs w:val="28"/>
          <w:lang w:val="en-GB"/>
        </w:rPr>
      </w:pPr>
    </w:p>
    <w:p w:rsidR="00BC538F" w:rsidRDefault="00BC538F">
      <w:pPr>
        <w:rPr>
          <w:rFonts w:cs="Times New Roman"/>
          <w:b/>
          <w:sz w:val="28"/>
          <w:szCs w:val="28"/>
          <w:lang w:val="en-GB"/>
        </w:rPr>
      </w:pPr>
      <w:r>
        <w:rPr>
          <w:rFonts w:cs="Times New Roman"/>
          <w:b/>
          <w:sz w:val="28"/>
          <w:szCs w:val="28"/>
          <w:lang w:val="en-GB"/>
        </w:rPr>
        <w:br w:type="page"/>
      </w:r>
    </w:p>
    <w:p w:rsidR="00C112DF" w:rsidRDefault="00C112DF" w:rsidP="00C112DF">
      <w:pPr>
        <w:spacing w:line="360" w:lineRule="auto"/>
        <w:jc w:val="both"/>
        <w:rPr>
          <w:rFonts w:cs="Times New Roman"/>
          <w:b/>
          <w:sz w:val="28"/>
          <w:szCs w:val="28"/>
          <w:lang w:val="en-GB"/>
        </w:rPr>
      </w:pPr>
    </w:p>
    <w:p w:rsidR="00C112DF" w:rsidRDefault="00C112DF" w:rsidP="00C112DF">
      <w:pPr>
        <w:spacing w:line="360" w:lineRule="auto"/>
        <w:jc w:val="both"/>
        <w:rPr>
          <w:rFonts w:cs="Times New Roman"/>
          <w:b/>
          <w:sz w:val="28"/>
          <w:szCs w:val="28"/>
          <w:lang w:val="en-GB"/>
        </w:rPr>
      </w:pPr>
    </w:p>
    <w:p w:rsidR="00C112DF" w:rsidRPr="006D4C48" w:rsidRDefault="00C112DF" w:rsidP="00C112DF">
      <w:pPr>
        <w:spacing w:line="360" w:lineRule="auto"/>
        <w:ind w:left="1440" w:firstLine="720"/>
        <w:jc w:val="both"/>
        <w:rPr>
          <w:rFonts w:cs="Times New Roman"/>
          <w:b/>
          <w:sz w:val="28"/>
          <w:szCs w:val="28"/>
          <w:lang w:val="en-GB"/>
        </w:rPr>
      </w:pPr>
      <w:r w:rsidRPr="006D4C48">
        <w:rPr>
          <w:rFonts w:cs="Times New Roman"/>
          <w:b/>
          <w:sz w:val="28"/>
          <w:szCs w:val="28"/>
          <w:lang w:val="en-GB"/>
        </w:rPr>
        <w:t>References:</w:t>
      </w:r>
    </w:p>
    <w:p w:rsidR="00C112DF" w:rsidRPr="00C50F52" w:rsidRDefault="00C112DF" w:rsidP="00C112DF">
      <w:pPr>
        <w:spacing w:line="360" w:lineRule="auto"/>
        <w:jc w:val="both"/>
        <w:rPr>
          <w:rFonts w:cs="Times New Roman"/>
          <w:b/>
          <w:lang w:val="en-GB"/>
        </w:rPr>
      </w:pPr>
    </w:p>
    <w:p w:rsidR="00C112DF" w:rsidRPr="00EC218F" w:rsidRDefault="00C112DF" w:rsidP="00C112DF">
      <w:pPr>
        <w:pStyle w:val="ListParagraph"/>
        <w:numPr>
          <w:ilvl w:val="0"/>
          <w:numId w:val="3"/>
        </w:numPr>
        <w:spacing w:line="360" w:lineRule="auto"/>
        <w:rPr>
          <w:rFonts w:ascii="Times New Roman" w:eastAsia="Times New Roman" w:hAnsi="Times New Roman" w:cs="Times New Roman"/>
        </w:rPr>
      </w:pPr>
      <w:r w:rsidRPr="00EC218F">
        <w:rPr>
          <w:rFonts w:ascii="Times New Roman" w:eastAsia="Times New Roman" w:hAnsi="Times New Roman" w:cs="Times New Roman"/>
          <w:color w:val="000000"/>
          <w:shd w:val="clear" w:color="auto" w:fill="FFFFFF"/>
        </w:rPr>
        <w:t xml:space="preserve">Lee Jong-Chan and </w:t>
      </w:r>
      <w:proofErr w:type="spellStart"/>
      <w:r w:rsidRPr="00EC218F">
        <w:rPr>
          <w:rFonts w:ascii="Times New Roman" w:eastAsia="Times New Roman" w:hAnsi="Times New Roman" w:cs="Times New Roman"/>
          <w:color w:val="000000"/>
          <w:shd w:val="clear" w:color="auto" w:fill="FFFFFF"/>
        </w:rPr>
        <w:t>Jonggu</w:t>
      </w:r>
      <w:proofErr w:type="spellEnd"/>
      <w:r w:rsidRPr="00EC218F">
        <w:rPr>
          <w:rFonts w:ascii="Times New Roman" w:eastAsia="Times New Roman" w:hAnsi="Times New Roman" w:cs="Times New Roman"/>
          <w:color w:val="000000"/>
          <w:shd w:val="clear" w:color="auto" w:fill="FFFFFF"/>
        </w:rPr>
        <w:t xml:space="preserve"> Lee, 2018. A Comparative Study on the Process of Change and the Characteristics of the Employment System in Korea - Focusing on the Spec-oriented recruitment, NCS based Recruitment, and Blind Recruitment-. </w:t>
      </w:r>
      <w:r w:rsidRPr="00EC218F">
        <w:rPr>
          <w:rFonts w:ascii="Times New Roman" w:eastAsia="Times New Roman" w:hAnsi="Times New Roman" w:cs="Times New Roman"/>
          <w:i/>
          <w:iCs/>
          <w:color w:val="000000"/>
        </w:rPr>
        <w:t>The Review of Business History</w:t>
      </w:r>
      <w:r w:rsidRPr="00EC218F">
        <w:rPr>
          <w:rFonts w:ascii="Times New Roman" w:eastAsia="Times New Roman" w:hAnsi="Times New Roman" w:cs="Times New Roman"/>
          <w:color w:val="000000"/>
          <w:shd w:val="clear" w:color="auto" w:fill="FFFFFF"/>
        </w:rPr>
        <w:t>, 33(4), pp.129-155.</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proofErr w:type="spellStart"/>
      <w:r w:rsidRPr="00210DA7">
        <w:rPr>
          <w:rFonts w:ascii="Times New Roman" w:eastAsia="Times New Roman" w:hAnsi="Times New Roman" w:cs="Times New Roman"/>
          <w:color w:val="000000"/>
          <w:shd w:val="clear" w:color="auto" w:fill="FFFFFF"/>
        </w:rPr>
        <w:t>Capano</w:t>
      </w:r>
      <w:proofErr w:type="spellEnd"/>
      <w:r w:rsidRPr="00210DA7">
        <w:rPr>
          <w:rFonts w:ascii="Times New Roman" w:eastAsia="Times New Roman" w:hAnsi="Times New Roman" w:cs="Times New Roman"/>
          <w:color w:val="000000"/>
          <w:shd w:val="clear" w:color="auto" w:fill="FFFFFF"/>
        </w:rPr>
        <w:t xml:space="preserve">, G. and </w:t>
      </w:r>
      <w:proofErr w:type="spellStart"/>
      <w:r w:rsidRPr="00210DA7">
        <w:rPr>
          <w:rFonts w:ascii="Times New Roman" w:eastAsia="Times New Roman" w:hAnsi="Times New Roman" w:cs="Times New Roman"/>
          <w:color w:val="000000"/>
          <w:shd w:val="clear" w:color="auto" w:fill="FFFFFF"/>
        </w:rPr>
        <w:t>Galanti</w:t>
      </w:r>
      <w:proofErr w:type="spellEnd"/>
      <w:r w:rsidRPr="00210DA7">
        <w:rPr>
          <w:rFonts w:ascii="Times New Roman" w:eastAsia="Times New Roman" w:hAnsi="Times New Roman" w:cs="Times New Roman"/>
          <w:color w:val="000000"/>
          <w:shd w:val="clear" w:color="auto" w:fill="FFFFFF"/>
        </w:rPr>
        <w:t>, M., 2020. From policy entrepreneurs to policy entrepreneurship: actors and actions in public policy innovation. </w:t>
      </w:r>
      <w:r w:rsidRPr="00210DA7">
        <w:rPr>
          <w:rFonts w:ascii="Times New Roman" w:eastAsia="Times New Roman" w:hAnsi="Times New Roman" w:cs="Times New Roman"/>
          <w:i/>
          <w:iCs/>
          <w:color w:val="000000"/>
        </w:rPr>
        <w:t>Policy &amp; Politics</w:t>
      </w:r>
      <w:r w:rsidRPr="00210DA7">
        <w:rPr>
          <w:rFonts w:ascii="Times New Roman" w:eastAsia="Times New Roman" w:hAnsi="Times New Roman" w:cs="Times New Roman"/>
          <w:color w:val="000000"/>
          <w:shd w:val="clear" w:color="auto" w:fill="FFFFFF"/>
        </w:rPr>
        <w:t>.</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r w:rsidRPr="00210DA7">
        <w:rPr>
          <w:rFonts w:ascii="Times New Roman" w:eastAsia="Times New Roman" w:hAnsi="Times New Roman" w:cs="Times New Roman"/>
          <w:color w:val="000000"/>
          <w:shd w:val="clear" w:color="auto" w:fill="FFFFFF"/>
        </w:rPr>
        <w:t>Gash, A. and Murakami, M., 2015. Venue Effects: How State Policy Source Influences Policy Support. </w:t>
      </w:r>
      <w:r w:rsidRPr="00210DA7">
        <w:rPr>
          <w:rFonts w:ascii="Times New Roman" w:eastAsia="Times New Roman" w:hAnsi="Times New Roman" w:cs="Times New Roman"/>
          <w:i/>
          <w:iCs/>
          <w:color w:val="000000"/>
        </w:rPr>
        <w:t xml:space="preserve">Politics &amp; </w:t>
      </w:r>
      <w:proofErr w:type="spellStart"/>
      <w:r w:rsidRPr="00210DA7">
        <w:rPr>
          <w:rFonts w:ascii="Times New Roman" w:eastAsia="Times New Roman" w:hAnsi="Times New Roman" w:cs="Times New Roman"/>
          <w:i/>
          <w:iCs/>
          <w:color w:val="000000"/>
        </w:rPr>
        <w:t>Policy</w:t>
      </w:r>
      <w:r w:rsidRPr="00210DA7">
        <w:rPr>
          <w:rFonts w:ascii="Times New Roman" w:eastAsia="Times New Roman" w:hAnsi="Times New Roman" w:cs="Times New Roman"/>
          <w:color w:val="000000"/>
          <w:shd w:val="clear" w:color="auto" w:fill="FFFFFF"/>
        </w:rPr>
        <w:t>Policy</w:t>
      </w:r>
      <w:proofErr w:type="spellEnd"/>
      <w:r w:rsidRPr="00210DA7">
        <w:rPr>
          <w:rFonts w:ascii="Times New Roman" w:eastAsia="Times New Roman" w:hAnsi="Times New Roman" w:cs="Times New Roman"/>
          <w:color w:val="000000"/>
          <w:shd w:val="clear" w:color="auto" w:fill="FFFFFF"/>
        </w:rPr>
        <w:t>, 43(5), pp.679-722.</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r w:rsidRPr="00210DA7">
        <w:rPr>
          <w:rFonts w:ascii="Times New Roman" w:eastAsia="Times New Roman" w:hAnsi="Times New Roman" w:cs="Times New Roman"/>
          <w:color w:val="000000"/>
          <w:shd w:val="clear" w:color="auto" w:fill="FFFFFF"/>
        </w:rPr>
        <w:t xml:space="preserve">Marie Ryan, A., and </w:t>
      </w:r>
      <w:proofErr w:type="spellStart"/>
      <w:r w:rsidRPr="00210DA7">
        <w:rPr>
          <w:rFonts w:ascii="Times New Roman" w:eastAsia="Times New Roman" w:hAnsi="Times New Roman" w:cs="Times New Roman"/>
          <w:color w:val="000000"/>
          <w:shd w:val="clear" w:color="auto" w:fill="FFFFFF"/>
        </w:rPr>
        <w:t>Derous</w:t>
      </w:r>
      <w:proofErr w:type="spellEnd"/>
      <w:r w:rsidRPr="00210DA7">
        <w:rPr>
          <w:rFonts w:ascii="Times New Roman" w:eastAsia="Times New Roman" w:hAnsi="Times New Roman" w:cs="Times New Roman"/>
          <w:color w:val="000000"/>
          <w:shd w:val="clear" w:color="auto" w:fill="FFFFFF"/>
        </w:rPr>
        <w:t xml:space="preserve">, E., 2016. Highlighting Tensions in Recruitment and Selection Research and Practice. </w:t>
      </w:r>
      <w:r w:rsidRPr="00210DA7">
        <w:rPr>
          <w:rFonts w:ascii="Times New Roman" w:eastAsia="Times New Roman" w:hAnsi="Times New Roman" w:cs="Times New Roman"/>
          <w:i/>
          <w:iCs/>
          <w:color w:val="000000"/>
        </w:rPr>
        <w:t>International Journal of Selection and Assessment</w:t>
      </w:r>
      <w:r w:rsidRPr="00210DA7">
        <w:rPr>
          <w:rFonts w:ascii="Times New Roman" w:eastAsia="Times New Roman" w:hAnsi="Times New Roman" w:cs="Times New Roman"/>
          <w:color w:val="000000"/>
          <w:shd w:val="clear" w:color="auto" w:fill="FFFFFF"/>
        </w:rPr>
        <w:t>, 24(1), pp.54-62.</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proofErr w:type="spellStart"/>
      <w:r w:rsidRPr="00210DA7">
        <w:rPr>
          <w:rFonts w:ascii="Times New Roman" w:eastAsia="Times New Roman" w:hAnsi="Times New Roman" w:cs="Times New Roman"/>
          <w:color w:val="000000"/>
          <w:shd w:val="clear" w:color="auto" w:fill="FFFFFF"/>
        </w:rPr>
        <w:t>Gavriel</w:t>
      </w:r>
      <w:proofErr w:type="spellEnd"/>
      <w:r w:rsidRPr="00210DA7">
        <w:rPr>
          <w:rFonts w:ascii="Times New Roman" w:eastAsia="Times New Roman" w:hAnsi="Times New Roman" w:cs="Times New Roman"/>
          <w:color w:val="000000"/>
          <w:shd w:val="clear" w:color="auto" w:fill="FFFFFF"/>
        </w:rPr>
        <w:t>, F., 2015. Participation, Recruitment Selection, and the Minimum Wage. </w:t>
      </w:r>
      <w:r w:rsidRPr="00210DA7">
        <w:rPr>
          <w:rFonts w:ascii="Times New Roman" w:eastAsia="Times New Roman" w:hAnsi="Times New Roman" w:cs="Times New Roman"/>
          <w:i/>
          <w:iCs/>
          <w:color w:val="000000"/>
        </w:rPr>
        <w:t>The Scandinavian Journal of Economics</w:t>
      </w:r>
      <w:r w:rsidRPr="00210DA7">
        <w:rPr>
          <w:rFonts w:ascii="Times New Roman" w:eastAsia="Times New Roman" w:hAnsi="Times New Roman" w:cs="Times New Roman"/>
          <w:color w:val="000000"/>
          <w:shd w:val="clear" w:color="auto" w:fill="FFFFFF"/>
        </w:rPr>
        <w:t>, 117(4), pp.1281-1305.</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r w:rsidRPr="00210DA7">
        <w:rPr>
          <w:rFonts w:ascii="Times New Roman" w:eastAsia="Times New Roman" w:hAnsi="Times New Roman" w:cs="Times New Roman"/>
          <w:color w:val="000000"/>
          <w:shd w:val="clear" w:color="auto" w:fill="FFFFFF"/>
        </w:rPr>
        <w:t>Al-</w:t>
      </w:r>
      <w:proofErr w:type="spellStart"/>
      <w:r w:rsidRPr="00210DA7">
        <w:rPr>
          <w:rFonts w:ascii="Times New Roman" w:eastAsia="Times New Roman" w:hAnsi="Times New Roman" w:cs="Times New Roman"/>
          <w:color w:val="000000"/>
          <w:shd w:val="clear" w:color="auto" w:fill="FFFFFF"/>
        </w:rPr>
        <w:t>Kassem</w:t>
      </w:r>
      <w:proofErr w:type="spellEnd"/>
      <w:r w:rsidRPr="00210DA7">
        <w:rPr>
          <w:rFonts w:ascii="Times New Roman" w:eastAsia="Times New Roman" w:hAnsi="Times New Roman" w:cs="Times New Roman"/>
          <w:color w:val="000000"/>
          <w:shd w:val="clear" w:color="auto" w:fill="FFFFFF"/>
        </w:rPr>
        <w:t>, A., 2017. Recruitment and Selection Practices in Business Process Outsourcing Industry. </w:t>
      </w:r>
      <w:r w:rsidRPr="00210DA7">
        <w:rPr>
          <w:rFonts w:ascii="Times New Roman" w:eastAsia="Times New Roman" w:hAnsi="Times New Roman" w:cs="Times New Roman"/>
          <w:i/>
          <w:iCs/>
          <w:color w:val="000000"/>
        </w:rPr>
        <w:t>Archives of Business Research</w:t>
      </w:r>
      <w:r w:rsidRPr="00210DA7">
        <w:rPr>
          <w:rFonts w:ascii="Times New Roman" w:eastAsia="Times New Roman" w:hAnsi="Times New Roman" w:cs="Times New Roman"/>
          <w:color w:val="000000"/>
          <w:shd w:val="clear" w:color="auto" w:fill="FFFFFF"/>
        </w:rPr>
        <w:t>, 5(3).</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r w:rsidRPr="00210DA7">
        <w:rPr>
          <w:rFonts w:ascii="Times New Roman" w:eastAsia="Times New Roman" w:hAnsi="Times New Roman" w:cs="Times New Roman"/>
          <w:color w:val="000000"/>
          <w:shd w:val="clear" w:color="auto" w:fill="FFFFFF"/>
        </w:rPr>
        <w:t>Vincent, V., 2019. 360° recruitment: a holistic recruitment process. </w:t>
      </w:r>
      <w:r w:rsidRPr="00210DA7">
        <w:rPr>
          <w:rFonts w:ascii="Times New Roman" w:eastAsia="Times New Roman" w:hAnsi="Times New Roman" w:cs="Times New Roman"/>
          <w:i/>
          <w:iCs/>
          <w:color w:val="000000"/>
        </w:rPr>
        <w:t>Strategic HR Review</w:t>
      </w:r>
      <w:r w:rsidRPr="00210DA7">
        <w:rPr>
          <w:rFonts w:ascii="Times New Roman" w:eastAsia="Times New Roman" w:hAnsi="Times New Roman" w:cs="Times New Roman"/>
          <w:color w:val="000000"/>
          <w:shd w:val="clear" w:color="auto" w:fill="FFFFFF"/>
        </w:rPr>
        <w:t>, 18(3), pp.128-132.</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r w:rsidRPr="00210DA7">
        <w:rPr>
          <w:rFonts w:ascii="Times New Roman" w:eastAsia="Times New Roman" w:hAnsi="Times New Roman" w:cs="Times New Roman"/>
          <w:color w:val="000000"/>
          <w:shd w:val="clear" w:color="auto" w:fill="FFFFFF"/>
        </w:rPr>
        <w:t>NAWAZ, N., 2019. ROBOTIC PROCESS AUTOMATION FOR RECRUITMENT PROCESS. </w:t>
      </w:r>
      <w:r w:rsidRPr="00210DA7">
        <w:rPr>
          <w:rFonts w:ascii="Times New Roman" w:eastAsia="Times New Roman" w:hAnsi="Times New Roman" w:cs="Times New Roman"/>
          <w:i/>
          <w:iCs/>
          <w:color w:val="000000"/>
        </w:rPr>
        <w:t>INTERNATIONAL JOURNAL OF ADVANCED RESEARCH IN ENGINEERING &amp; TECHNOLOGY</w:t>
      </w:r>
      <w:r w:rsidRPr="00210DA7">
        <w:rPr>
          <w:rFonts w:ascii="Times New Roman" w:eastAsia="Times New Roman" w:hAnsi="Times New Roman" w:cs="Times New Roman"/>
          <w:color w:val="000000"/>
          <w:shd w:val="clear" w:color="auto" w:fill="FFFFFF"/>
        </w:rPr>
        <w:t>, 10(2).</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proofErr w:type="spellStart"/>
      <w:r w:rsidRPr="00210DA7">
        <w:rPr>
          <w:rFonts w:ascii="Times New Roman" w:eastAsia="Times New Roman" w:hAnsi="Times New Roman" w:cs="Times New Roman"/>
          <w:color w:val="000000"/>
          <w:shd w:val="clear" w:color="auto" w:fill="FFFFFF"/>
        </w:rPr>
        <w:t>Rimmer</w:t>
      </w:r>
      <w:proofErr w:type="spellEnd"/>
      <w:r w:rsidRPr="00210DA7">
        <w:rPr>
          <w:rFonts w:ascii="Times New Roman" w:eastAsia="Times New Roman" w:hAnsi="Times New Roman" w:cs="Times New Roman"/>
          <w:color w:val="000000"/>
          <w:shd w:val="clear" w:color="auto" w:fill="FFFFFF"/>
        </w:rPr>
        <w:t xml:space="preserve">, A., 2020. Physician trainees raise concerns about the modified recruitment process. </w:t>
      </w:r>
      <w:r w:rsidRPr="00210DA7">
        <w:rPr>
          <w:rFonts w:ascii="Times New Roman" w:eastAsia="Times New Roman" w:hAnsi="Times New Roman" w:cs="Times New Roman"/>
          <w:i/>
          <w:iCs/>
          <w:color w:val="000000"/>
        </w:rPr>
        <w:t>BMJ</w:t>
      </w:r>
      <w:r w:rsidRPr="00210DA7">
        <w:rPr>
          <w:rFonts w:ascii="Times New Roman" w:eastAsia="Times New Roman" w:hAnsi="Times New Roman" w:cs="Times New Roman"/>
          <w:color w:val="000000"/>
          <w:shd w:val="clear" w:color="auto" w:fill="FFFFFF"/>
        </w:rPr>
        <w:t>, p.m2038.</w:t>
      </w:r>
    </w:p>
    <w:p w:rsidR="00C112DF" w:rsidRPr="00210DA7" w:rsidRDefault="00C112DF" w:rsidP="00C112DF">
      <w:pPr>
        <w:pStyle w:val="ListParagraph"/>
        <w:numPr>
          <w:ilvl w:val="0"/>
          <w:numId w:val="3"/>
        </w:numPr>
        <w:spacing w:line="360" w:lineRule="auto"/>
        <w:rPr>
          <w:rFonts w:ascii="Times New Roman" w:eastAsia="Times New Roman" w:hAnsi="Times New Roman" w:cs="Times New Roman"/>
        </w:rPr>
      </w:pPr>
      <w:proofErr w:type="spellStart"/>
      <w:r w:rsidRPr="00210DA7">
        <w:rPr>
          <w:rFonts w:ascii="Times New Roman" w:eastAsia="Times New Roman" w:hAnsi="Times New Roman" w:cs="Times New Roman"/>
          <w:color w:val="000000"/>
          <w:shd w:val="clear" w:color="auto" w:fill="FFFFFF"/>
        </w:rPr>
        <w:t>Mindia</w:t>
      </w:r>
      <w:proofErr w:type="spellEnd"/>
      <w:r w:rsidRPr="00210DA7">
        <w:rPr>
          <w:rFonts w:ascii="Times New Roman" w:eastAsia="Times New Roman" w:hAnsi="Times New Roman" w:cs="Times New Roman"/>
          <w:color w:val="000000"/>
          <w:shd w:val="clear" w:color="auto" w:fill="FFFFFF"/>
        </w:rPr>
        <w:t xml:space="preserve">, P. and </w:t>
      </w:r>
      <w:proofErr w:type="spellStart"/>
      <w:r w:rsidRPr="00210DA7">
        <w:rPr>
          <w:rFonts w:ascii="Times New Roman" w:eastAsia="Times New Roman" w:hAnsi="Times New Roman" w:cs="Times New Roman"/>
          <w:color w:val="000000"/>
          <w:shd w:val="clear" w:color="auto" w:fill="FFFFFF"/>
        </w:rPr>
        <w:t>Hoque</w:t>
      </w:r>
      <w:proofErr w:type="spellEnd"/>
      <w:r w:rsidRPr="00210DA7">
        <w:rPr>
          <w:rFonts w:ascii="Times New Roman" w:eastAsia="Times New Roman" w:hAnsi="Times New Roman" w:cs="Times New Roman"/>
          <w:color w:val="000000"/>
          <w:shd w:val="clear" w:color="auto" w:fill="FFFFFF"/>
        </w:rPr>
        <w:t xml:space="preserve">, M., 2018. Effects of E-recruitment and internet on the recruitment process: An Empirical Study on Multinational companies of Bangladesh. </w:t>
      </w:r>
      <w:r w:rsidRPr="00210DA7">
        <w:rPr>
          <w:rFonts w:ascii="Times New Roman" w:eastAsia="Times New Roman" w:hAnsi="Times New Roman" w:cs="Times New Roman"/>
          <w:i/>
          <w:iCs/>
          <w:color w:val="000000"/>
        </w:rPr>
        <w:t>International Journal of Scientific Research and Management</w:t>
      </w:r>
      <w:r w:rsidRPr="00210DA7">
        <w:rPr>
          <w:rFonts w:ascii="Times New Roman" w:eastAsia="Times New Roman" w:hAnsi="Times New Roman" w:cs="Times New Roman"/>
          <w:color w:val="000000"/>
          <w:shd w:val="clear" w:color="auto" w:fill="FFFFFF"/>
        </w:rPr>
        <w:t>, 6(01).</w:t>
      </w:r>
    </w:p>
    <w:p w:rsidR="00C112DF" w:rsidRPr="00D922E5" w:rsidRDefault="00C112DF" w:rsidP="00C112DF">
      <w:pPr>
        <w:rPr>
          <w:rFonts w:cs="Times New Roman"/>
          <w:b/>
        </w:rPr>
      </w:pPr>
    </w:p>
    <w:p w:rsidR="00DD4CEF" w:rsidRDefault="00DD4CEF" w:rsidP="00FE0EB1">
      <w:pPr>
        <w:ind w:left="720" w:hanging="720"/>
        <w:jc w:val="both"/>
      </w:pPr>
    </w:p>
    <w:sectPr w:rsidR="00DD4CEF" w:rsidSect="00FD4D6C">
      <w:headerReference w:type="default" r:id="rId12"/>
      <w:pgSz w:w="12240" w:h="15840"/>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6141F" w:rsidRDefault="0016141F" w:rsidP="00C8245A">
      <w:pPr>
        <w:spacing w:line="240" w:lineRule="auto"/>
      </w:pPr>
      <w:r>
        <w:separator/>
      </w:r>
    </w:p>
  </w:endnote>
  <w:endnote w:type="continuationSeparator" w:id="0">
    <w:p w:rsidR="0016141F" w:rsidRDefault="0016141F" w:rsidP="00C82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6141F" w:rsidRDefault="0016141F" w:rsidP="00C8245A">
      <w:pPr>
        <w:spacing w:line="240" w:lineRule="auto"/>
      </w:pPr>
      <w:r>
        <w:separator/>
      </w:r>
    </w:p>
  </w:footnote>
  <w:footnote w:type="continuationSeparator" w:id="0">
    <w:p w:rsidR="0016141F" w:rsidRDefault="0016141F" w:rsidP="00C824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0951283"/>
      <w:docPartObj>
        <w:docPartGallery w:val="Page Numbers (Top of Page)"/>
        <w:docPartUnique/>
      </w:docPartObj>
    </w:sdtPr>
    <w:sdtEndPr>
      <w:rPr>
        <w:noProof/>
      </w:rPr>
    </w:sdtEndPr>
    <w:sdtContent>
      <w:p w:rsidR="000026B2" w:rsidRDefault="000026B2">
        <w:pPr>
          <w:pStyle w:val="Header"/>
          <w:jc w:val="right"/>
        </w:pPr>
        <w:r>
          <w:fldChar w:fldCharType="begin"/>
        </w:r>
        <w:r>
          <w:instrText xml:space="preserve"> PAGE   \* MERGEFORMAT </w:instrText>
        </w:r>
        <w:r>
          <w:fldChar w:fldCharType="separate"/>
        </w:r>
        <w:r w:rsidR="0051622F">
          <w:rPr>
            <w:noProof/>
          </w:rPr>
          <w:t>11</w:t>
        </w:r>
        <w:r>
          <w:rPr>
            <w:noProof/>
          </w:rPr>
          <w:fldChar w:fldCharType="end"/>
        </w:r>
      </w:p>
    </w:sdtContent>
  </w:sdt>
  <w:p w:rsidR="00A37790" w:rsidRPr="00BF0792" w:rsidRDefault="00A37790" w:rsidP="00BF07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03AD9"/>
    <w:multiLevelType w:val="hybridMultilevel"/>
    <w:tmpl w:val="359E79EA"/>
    <w:lvl w:ilvl="0" w:tplc="AECEBC04">
      <w:start w:val="1"/>
      <w:numFmt w:val="decimal"/>
      <w:lvlText w:val="%1."/>
      <w:lvlJc w:val="left"/>
      <w:pPr>
        <w:ind w:left="630" w:hanging="360"/>
      </w:pPr>
      <w:rPr>
        <w:rFonts w:hint="default"/>
      </w:rPr>
    </w:lvl>
    <w:lvl w:ilvl="1" w:tplc="67989FA2">
      <w:start w:val="1"/>
      <w:numFmt w:val="lowerLetter"/>
      <w:lvlText w:val="%2."/>
      <w:lvlJc w:val="left"/>
      <w:pPr>
        <w:ind w:left="1440" w:hanging="360"/>
      </w:pPr>
    </w:lvl>
    <w:lvl w:ilvl="2" w:tplc="A050A1AA">
      <w:start w:val="1"/>
      <w:numFmt w:val="lowerRoman"/>
      <w:lvlText w:val="%3."/>
      <w:lvlJc w:val="right"/>
      <w:pPr>
        <w:ind w:left="2160" w:hanging="180"/>
      </w:pPr>
    </w:lvl>
    <w:lvl w:ilvl="3" w:tplc="86AAB75C">
      <w:start w:val="1"/>
      <w:numFmt w:val="decimal"/>
      <w:lvlText w:val="%4."/>
      <w:lvlJc w:val="left"/>
      <w:pPr>
        <w:ind w:left="2880" w:hanging="360"/>
      </w:pPr>
    </w:lvl>
    <w:lvl w:ilvl="4" w:tplc="B69C1EEE" w:tentative="1">
      <w:start w:val="1"/>
      <w:numFmt w:val="lowerLetter"/>
      <w:lvlText w:val="%5."/>
      <w:lvlJc w:val="left"/>
      <w:pPr>
        <w:ind w:left="3600" w:hanging="360"/>
      </w:pPr>
    </w:lvl>
    <w:lvl w:ilvl="5" w:tplc="076033BE" w:tentative="1">
      <w:start w:val="1"/>
      <w:numFmt w:val="lowerRoman"/>
      <w:lvlText w:val="%6."/>
      <w:lvlJc w:val="right"/>
      <w:pPr>
        <w:ind w:left="4320" w:hanging="180"/>
      </w:pPr>
    </w:lvl>
    <w:lvl w:ilvl="6" w:tplc="54E40A4E" w:tentative="1">
      <w:start w:val="1"/>
      <w:numFmt w:val="decimal"/>
      <w:lvlText w:val="%7."/>
      <w:lvlJc w:val="left"/>
      <w:pPr>
        <w:ind w:left="5040" w:hanging="360"/>
      </w:pPr>
    </w:lvl>
    <w:lvl w:ilvl="7" w:tplc="B2D29B58" w:tentative="1">
      <w:start w:val="1"/>
      <w:numFmt w:val="lowerLetter"/>
      <w:lvlText w:val="%8."/>
      <w:lvlJc w:val="left"/>
      <w:pPr>
        <w:ind w:left="5760" w:hanging="360"/>
      </w:pPr>
    </w:lvl>
    <w:lvl w:ilvl="8" w:tplc="08167108" w:tentative="1">
      <w:start w:val="1"/>
      <w:numFmt w:val="lowerRoman"/>
      <w:lvlText w:val="%9."/>
      <w:lvlJc w:val="right"/>
      <w:pPr>
        <w:ind w:left="6480" w:hanging="180"/>
      </w:pPr>
    </w:lvl>
  </w:abstractNum>
  <w:abstractNum w:abstractNumId="1" w15:restartNumberingAfterBreak="0">
    <w:nsid w:val="11A04DA7"/>
    <w:multiLevelType w:val="hybridMultilevel"/>
    <w:tmpl w:val="F4FACCE6"/>
    <w:lvl w:ilvl="0" w:tplc="15C2F822">
      <w:start w:val="1"/>
      <w:numFmt w:val="decimal"/>
      <w:lvlText w:val="%1."/>
      <w:lvlJc w:val="left"/>
      <w:pPr>
        <w:ind w:left="2880" w:hanging="360"/>
      </w:pPr>
      <w:rPr>
        <w:rFonts w:hint="default"/>
      </w:rPr>
    </w:lvl>
    <w:lvl w:ilvl="1" w:tplc="EA6246E2" w:tentative="1">
      <w:start w:val="1"/>
      <w:numFmt w:val="lowerLetter"/>
      <w:lvlText w:val="%2."/>
      <w:lvlJc w:val="left"/>
      <w:pPr>
        <w:ind w:left="3600" w:hanging="360"/>
      </w:pPr>
    </w:lvl>
    <w:lvl w:ilvl="2" w:tplc="C292E69C" w:tentative="1">
      <w:start w:val="1"/>
      <w:numFmt w:val="lowerRoman"/>
      <w:lvlText w:val="%3."/>
      <w:lvlJc w:val="right"/>
      <w:pPr>
        <w:ind w:left="4320" w:hanging="180"/>
      </w:pPr>
    </w:lvl>
    <w:lvl w:ilvl="3" w:tplc="9522E800" w:tentative="1">
      <w:start w:val="1"/>
      <w:numFmt w:val="decimal"/>
      <w:lvlText w:val="%4."/>
      <w:lvlJc w:val="left"/>
      <w:pPr>
        <w:ind w:left="5040" w:hanging="360"/>
      </w:pPr>
    </w:lvl>
    <w:lvl w:ilvl="4" w:tplc="FBA8ECB4" w:tentative="1">
      <w:start w:val="1"/>
      <w:numFmt w:val="lowerLetter"/>
      <w:lvlText w:val="%5."/>
      <w:lvlJc w:val="left"/>
      <w:pPr>
        <w:ind w:left="5760" w:hanging="360"/>
      </w:pPr>
    </w:lvl>
    <w:lvl w:ilvl="5" w:tplc="49DE4E7E" w:tentative="1">
      <w:start w:val="1"/>
      <w:numFmt w:val="lowerRoman"/>
      <w:lvlText w:val="%6."/>
      <w:lvlJc w:val="right"/>
      <w:pPr>
        <w:ind w:left="6480" w:hanging="180"/>
      </w:pPr>
    </w:lvl>
    <w:lvl w:ilvl="6" w:tplc="864C81C0" w:tentative="1">
      <w:start w:val="1"/>
      <w:numFmt w:val="decimal"/>
      <w:lvlText w:val="%7."/>
      <w:lvlJc w:val="left"/>
      <w:pPr>
        <w:ind w:left="7200" w:hanging="360"/>
      </w:pPr>
    </w:lvl>
    <w:lvl w:ilvl="7" w:tplc="49B03A22" w:tentative="1">
      <w:start w:val="1"/>
      <w:numFmt w:val="lowerLetter"/>
      <w:lvlText w:val="%8."/>
      <w:lvlJc w:val="left"/>
      <w:pPr>
        <w:ind w:left="7920" w:hanging="360"/>
      </w:pPr>
    </w:lvl>
    <w:lvl w:ilvl="8" w:tplc="99109AA0" w:tentative="1">
      <w:start w:val="1"/>
      <w:numFmt w:val="lowerRoman"/>
      <w:lvlText w:val="%9."/>
      <w:lvlJc w:val="right"/>
      <w:pPr>
        <w:ind w:left="8640" w:hanging="180"/>
      </w:pPr>
    </w:lvl>
  </w:abstractNum>
  <w:abstractNum w:abstractNumId="2" w15:restartNumberingAfterBreak="0">
    <w:nsid w:val="29A54714"/>
    <w:multiLevelType w:val="hybridMultilevel"/>
    <w:tmpl w:val="5E0ED4AE"/>
    <w:lvl w:ilvl="0" w:tplc="D480E8E8">
      <w:start w:val="1"/>
      <w:numFmt w:val="bullet"/>
      <w:lvlText w:val=""/>
      <w:lvlJc w:val="left"/>
      <w:pPr>
        <w:ind w:left="1440" w:hanging="360"/>
      </w:pPr>
      <w:rPr>
        <w:rFonts w:ascii="Symbol" w:hAnsi="Symbol" w:hint="default"/>
      </w:rPr>
    </w:lvl>
    <w:lvl w:ilvl="1" w:tplc="9DAA1BB2" w:tentative="1">
      <w:start w:val="1"/>
      <w:numFmt w:val="bullet"/>
      <w:lvlText w:val="o"/>
      <w:lvlJc w:val="left"/>
      <w:pPr>
        <w:ind w:left="2160" w:hanging="360"/>
      </w:pPr>
      <w:rPr>
        <w:rFonts w:ascii="Courier New" w:hAnsi="Courier New" w:cs="Courier New" w:hint="default"/>
      </w:rPr>
    </w:lvl>
    <w:lvl w:ilvl="2" w:tplc="C3CE436A" w:tentative="1">
      <w:start w:val="1"/>
      <w:numFmt w:val="bullet"/>
      <w:lvlText w:val=""/>
      <w:lvlJc w:val="left"/>
      <w:pPr>
        <w:ind w:left="2880" w:hanging="360"/>
      </w:pPr>
      <w:rPr>
        <w:rFonts w:ascii="Wingdings" w:hAnsi="Wingdings" w:hint="default"/>
      </w:rPr>
    </w:lvl>
    <w:lvl w:ilvl="3" w:tplc="91E2174C" w:tentative="1">
      <w:start w:val="1"/>
      <w:numFmt w:val="bullet"/>
      <w:lvlText w:val=""/>
      <w:lvlJc w:val="left"/>
      <w:pPr>
        <w:ind w:left="3600" w:hanging="360"/>
      </w:pPr>
      <w:rPr>
        <w:rFonts w:ascii="Symbol" w:hAnsi="Symbol" w:hint="default"/>
      </w:rPr>
    </w:lvl>
    <w:lvl w:ilvl="4" w:tplc="237A893A" w:tentative="1">
      <w:start w:val="1"/>
      <w:numFmt w:val="bullet"/>
      <w:lvlText w:val="o"/>
      <w:lvlJc w:val="left"/>
      <w:pPr>
        <w:ind w:left="4320" w:hanging="360"/>
      </w:pPr>
      <w:rPr>
        <w:rFonts w:ascii="Courier New" w:hAnsi="Courier New" w:cs="Courier New" w:hint="default"/>
      </w:rPr>
    </w:lvl>
    <w:lvl w:ilvl="5" w:tplc="D5F25B3A" w:tentative="1">
      <w:start w:val="1"/>
      <w:numFmt w:val="bullet"/>
      <w:lvlText w:val=""/>
      <w:lvlJc w:val="left"/>
      <w:pPr>
        <w:ind w:left="5040" w:hanging="360"/>
      </w:pPr>
      <w:rPr>
        <w:rFonts w:ascii="Wingdings" w:hAnsi="Wingdings" w:hint="default"/>
      </w:rPr>
    </w:lvl>
    <w:lvl w:ilvl="6" w:tplc="52BEB07A" w:tentative="1">
      <w:start w:val="1"/>
      <w:numFmt w:val="bullet"/>
      <w:lvlText w:val=""/>
      <w:lvlJc w:val="left"/>
      <w:pPr>
        <w:ind w:left="5760" w:hanging="360"/>
      </w:pPr>
      <w:rPr>
        <w:rFonts w:ascii="Symbol" w:hAnsi="Symbol" w:hint="default"/>
      </w:rPr>
    </w:lvl>
    <w:lvl w:ilvl="7" w:tplc="BEE839F4" w:tentative="1">
      <w:start w:val="1"/>
      <w:numFmt w:val="bullet"/>
      <w:lvlText w:val="o"/>
      <w:lvlJc w:val="left"/>
      <w:pPr>
        <w:ind w:left="6480" w:hanging="360"/>
      </w:pPr>
      <w:rPr>
        <w:rFonts w:ascii="Courier New" w:hAnsi="Courier New" w:cs="Courier New" w:hint="default"/>
      </w:rPr>
    </w:lvl>
    <w:lvl w:ilvl="8" w:tplc="BE04532C" w:tentative="1">
      <w:start w:val="1"/>
      <w:numFmt w:val="bullet"/>
      <w:lvlText w:val=""/>
      <w:lvlJc w:val="left"/>
      <w:pPr>
        <w:ind w:left="7200" w:hanging="360"/>
      </w:pPr>
      <w:rPr>
        <w:rFonts w:ascii="Wingdings" w:hAnsi="Wingdings" w:hint="default"/>
      </w:rPr>
    </w:lvl>
  </w:abstractNum>
  <w:abstractNum w:abstractNumId="3" w15:restartNumberingAfterBreak="0">
    <w:nsid w:val="5AA24F5A"/>
    <w:multiLevelType w:val="hybridMultilevel"/>
    <w:tmpl w:val="BE1E121A"/>
    <w:lvl w:ilvl="0" w:tplc="E752F660">
      <w:start w:val="1"/>
      <w:numFmt w:val="bullet"/>
      <w:lvlText w:val=""/>
      <w:lvlJc w:val="left"/>
      <w:pPr>
        <w:ind w:left="720" w:hanging="360"/>
      </w:pPr>
      <w:rPr>
        <w:rFonts w:ascii="Symbol" w:hAnsi="Symbol" w:hint="default"/>
      </w:rPr>
    </w:lvl>
    <w:lvl w:ilvl="1" w:tplc="6644D008" w:tentative="1">
      <w:start w:val="1"/>
      <w:numFmt w:val="bullet"/>
      <w:lvlText w:val="o"/>
      <w:lvlJc w:val="left"/>
      <w:pPr>
        <w:ind w:left="1440" w:hanging="360"/>
      </w:pPr>
      <w:rPr>
        <w:rFonts w:ascii="Courier New" w:hAnsi="Courier New" w:cs="Courier New" w:hint="default"/>
      </w:rPr>
    </w:lvl>
    <w:lvl w:ilvl="2" w:tplc="597C6C7E" w:tentative="1">
      <w:start w:val="1"/>
      <w:numFmt w:val="bullet"/>
      <w:lvlText w:val=""/>
      <w:lvlJc w:val="left"/>
      <w:pPr>
        <w:ind w:left="2160" w:hanging="360"/>
      </w:pPr>
      <w:rPr>
        <w:rFonts w:ascii="Wingdings" w:hAnsi="Wingdings" w:hint="default"/>
      </w:rPr>
    </w:lvl>
    <w:lvl w:ilvl="3" w:tplc="B0424BEE" w:tentative="1">
      <w:start w:val="1"/>
      <w:numFmt w:val="bullet"/>
      <w:lvlText w:val=""/>
      <w:lvlJc w:val="left"/>
      <w:pPr>
        <w:ind w:left="2880" w:hanging="360"/>
      </w:pPr>
      <w:rPr>
        <w:rFonts w:ascii="Symbol" w:hAnsi="Symbol" w:hint="default"/>
      </w:rPr>
    </w:lvl>
    <w:lvl w:ilvl="4" w:tplc="4E80EBE0" w:tentative="1">
      <w:start w:val="1"/>
      <w:numFmt w:val="bullet"/>
      <w:lvlText w:val="o"/>
      <w:lvlJc w:val="left"/>
      <w:pPr>
        <w:ind w:left="3600" w:hanging="360"/>
      </w:pPr>
      <w:rPr>
        <w:rFonts w:ascii="Courier New" w:hAnsi="Courier New" w:cs="Courier New" w:hint="default"/>
      </w:rPr>
    </w:lvl>
    <w:lvl w:ilvl="5" w:tplc="B45CA252" w:tentative="1">
      <w:start w:val="1"/>
      <w:numFmt w:val="bullet"/>
      <w:lvlText w:val=""/>
      <w:lvlJc w:val="left"/>
      <w:pPr>
        <w:ind w:left="4320" w:hanging="360"/>
      </w:pPr>
      <w:rPr>
        <w:rFonts w:ascii="Wingdings" w:hAnsi="Wingdings" w:hint="default"/>
      </w:rPr>
    </w:lvl>
    <w:lvl w:ilvl="6" w:tplc="BBA4FAEC" w:tentative="1">
      <w:start w:val="1"/>
      <w:numFmt w:val="bullet"/>
      <w:lvlText w:val=""/>
      <w:lvlJc w:val="left"/>
      <w:pPr>
        <w:ind w:left="5040" w:hanging="360"/>
      </w:pPr>
      <w:rPr>
        <w:rFonts w:ascii="Symbol" w:hAnsi="Symbol" w:hint="default"/>
      </w:rPr>
    </w:lvl>
    <w:lvl w:ilvl="7" w:tplc="B9C89E12" w:tentative="1">
      <w:start w:val="1"/>
      <w:numFmt w:val="bullet"/>
      <w:lvlText w:val="o"/>
      <w:lvlJc w:val="left"/>
      <w:pPr>
        <w:ind w:left="5760" w:hanging="360"/>
      </w:pPr>
      <w:rPr>
        <w:rFonts w:ascii="Courier New" w:hAnsi="Courier New" w:cs="Courier New" w:hint="default"/>
      </w:rPr>
    </w:lvl>
    <w:lvl w:ilvl="8" w:tplc="9056A72A" w:tentative="1">
      <w:start w:val="1"/>
      <w:numFmt w:val="bullet"/>
      <w:lvlText w:val=""/>
      <w:lvlJc w:val="left"/>
      <w:pPr>
        <w:ind w:left="6480" w:hanging="360"/>
      </w:pPr>
      <w:rPr>
        <w:rFonts w:ascii="Wingdings" w:hAnsi="Wingdings" w:hint="default"/>
      </w:rPr>
    </w:lvl>
  </w:abstractNum>
  <w:abstractNum w:abstractNumId="4" w15:restartNumberingAfterBreak="0">
    <w:nsid w:val="60CF3537"/>
    <w:multiLevelType w:val="hybridMultilevel"/>
    <w:tmpl w:val="3622FD58"/>
    <w:lvl w:ilvl="0" w:tplc="68E0F70C">
      <w:start w:val="1"/>
      <w:numFmt w:val="decimal"/>
      <w:lvlText w:val="%1."/>
      <w:lvlJc w:val="left"/>
      <w:pPr>
        <w:ind w:left="720" w:hanging="360"/>
      </w:pPr>
      <w:rPr>
        <w:rFonts w:ascii="Arial" w:hAnsi="Arial" w:cs="Arial" w:hint="default"/>
        <w:color w:val="000000"/>
        <w:sz w:val="20"/>
      </w:rPr>
    </w:lvl>
    <w:lvl w:ilvl="1" w:tplc="24F055A2" w:tentative="1">
      <w:start w:val="1"/>
      <w:numFmt w:val="lowerLetter"/>
      <w:lvlText w:val="%2."/>
      <w:lvlJc w:val="left"/>
      <w:pPr>
        <w:ind w:left="1440" w:hanging="360"/>
      </w:pPr>
    </w:lvl>
    <w:lvl w:ilvl="2" w:tplc="82383892" w:tentative="1">
      <w:start w:val="1"/>
      <w:numFmt w:val="lowerRoman"/>
      <w:lvlText w:val="%3."/>
      <w:lvlJc w:val="right"/>
      <w:pPr>
        <w:ind w:left="2160" w:hanging="180"/>
      </w:pPr>
    </w:lvl>
    <w:lvl w:ilvl="3" w:tplc="B5589496" w:tentative="1">
      <w:start w:val="1"/>
      <w:numFmt w:val="decimal"/>
      <w:lvlText w:val="%4."/>
      <w:lvlJc w:val="left"/>
      <w:pPr>
        <w:ind w:left="2880" w:hanging="360"/>
      </w:pPr>
    </w:lvl>
    <w:lvl w:ilvl="4" w:tplc="AC9EA0B8" w:tentative="1">
      <w:start w:val="1"/>
      <w:numFmt w:val="lowerLetter"/>
      <w:lvlText w:val="%5."/>
      <w:lvlJc w:val="left"/>
      <w:pPr>
        <w:ind w:left="3600" w:hanging="360"/>
      </w:pPr>
    </w:lvl>
    <w:lvl w:ilvl="5" w:tplc="41CCC57E" w:tentative="1">
      <w:start w:val="1"/>
      <w:numFmt w:val="lowerRoman"/>
      <w:lvlText w:val="%6."/>
      <w:lvlJc w:val="right"/>
      <w:pPr>
        <w:ind w:left="4320" w:hanging="180"/>
      </w:pPr>
    </w:lvl>
    <w:lvl w:ilvl="6" w:tplc="21DEAF58" w:tentative="1">
      <w:start w:val="1"/>
      <w:numFmt w:val="decimal"/>
      <w:lvlText w:val="%7."/>
      <w:lvlJc w:val="left"/>
      <w:pPr>
        <w:ind w:left="5040" w:hanging="360"/>
      </w:pPr>
    </w:lvl>
    <w:lvl w:ilvl="7" w:tplc="6BF86CE0" w:tentative="1">
      <w:start w:val="1"/>
      <w:numFmt w:val="lowerLetter"/>
      <w:lvlText w:val="%8."/>
      <w:lvlJc w:val="left"/>
      <w:pPr>
        <w:ind w:left="5760" w:hanging="360"/>
      </w:pPr>
    </w:lvl>
    <w:lvl w:ilvl="8" w:tplc="3CCA8EBE"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removePersonalInformation/>
  <w:removeDateAndTime/>
  <w:proofState w:spelling="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D6C"/>
    <w:rsid w:val="000026B2"/>
    <w:rsid w:val="00063033"/>
    <w:rsid w:val="000B364D"/>
    <w:rsid w:val="00123F69"/>
    <w:rsid w:val="0016141F"/>
    <w:rsid w:val="0030253C"/>
    <w:rsid w:val="003F732C"/>
    <w:rsid w:val="00412C76"/>
    <w:rsid w:val="0051622F"/>
    <w:rsid w:val="005D5AF9"/>
    <w:rsid w:val="00643FC8"/>
    <w:rsid w:val="00662331"/>
    <w:rsid w:val="00673181"/>
    <w:rsid w:val="0068552D"/>
    <w:rsid w:val="006D2B67"/>
    <w:rsid w:val="006D3A47"/>
    <w:rsid w:val="00834237"/>
    <w:rsid w:val="00844CB1"/>
    <w:rsid w:val="009C0E5B"/>
    <w:rsid w:val="00A37790"/>
    <w:rsid w:val="00A563DF"/>
    <w:rsid w:val="00AC3E42"/>
    <w:rsid w:val="00AD3FB3"/>
    <w:rsid w:val="00AE3C0E"/>
    <w:rsid w:val="00B35F21"/>
    <w:rsid w:val="00BC538F"/>
    <w:rsid w:val="00BF0792"/>
    <w:rsid w:val="00C112DF"/>
    <w:rsid w:val="00C8245A"/>
    <w:rsid w:val="00D12750"/>
    <w:rsid w:val="00D210D3"/>
    <w:rsid w:val="00D43D61"/>
    <w:rsid w:val="00D654BB"/>
    <w:rsid w:val="00DD4CEF"/>
    <w:rsid w:val="00FD4D6C"/>
    <w:rsid w:val="00FE0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32C"/>
    <w:rPr>
      <w:rFonts w:ascii="Times New Roman" w:hAnsi="Times New Roman"/>
      <w:sz w:val="24"/>
    </w:rPr>
  </w:style>
  <w:style w:type="paragraph" w:styleId="Heading1">
    <w:name w:val="heading 1"/>
    <w:basedOn w:val="Normal"/>
    <w:next w:val="Normal"/>
    <w:link w:val="Heading1Char"/>
    <w:uiPriority w:val="9"/>
    <w:qFormat/>
    <w:rsid w:val="003F732C"/>
    <w:pPr>
      <w:keepNext/>
      <w:keepLines/>
      <w:spacing w:before="48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3F732C"/>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F732C"/>
    <w:pPr>
      <w:keepNext/>
      <w:keepLines/>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32C"/>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3F732C"/>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3F732C"/>
    <w:rPr>
      <w:rFonts w:ascii="Times New Roman" w:eastAsiaTheme="majorEastAsia" w:hAnsi="Times New Roman" w:cstheme="majorBidi"/>
      <w:b/>
      <w:bCs/>
      <w:sz w:val="24"/>
    </w:rPr>
  </w:style>
  <w:style w:type="paragraph" w:styleId="Header">
    <w:name w:val="header"/>
    <w:basedOn w:val="Normal"/>
    <w:link w:val="HeaderChar"/>
    <w:uiPriority w:val="99"/>
    <w:unhideWhenUsed/>
    <w:rsid w:val="00FD4D6C"/>
    <w:pPr>
      <w:tabs>
        <w:tab w:val="center" w:pos="4680"/>
        <w:tab w:val="right" w:pos="9360"/>
      </w:tabs>
      <w:spacing w:line="240" w:lineRule="auto"/>
    </w:pPr>
  </w:style>
  <w:style w:type="character" w:customStyle="1" w:styleId="HeaderChar">
    <w:name w:val="Header Char"/>
    <w:basedOn w:val="DefaultParagraphFont"/>
    <w:link w:val="Header"/>
    <w:uiPriority w:val="99"/>
    <w:rsid w:val="00FD4D6C"/>
    <w:rPr>
      <w:rFonts w:ascii="Times New Roman" w:hAnsi="Times New Roman"/>
      <w:sz w:val="24"/>
    </w:rPr>
  </w:style>
  <w:style w:type="paragraph" w:styleId="Footer">
    <w:name w:val="footer"/>
    <w:basedOn w:val="Normal"/>
    <w:link w:val="FooterChar"/>
    <w:uiPriority w:val="99"/>
    <w:unhideWhenUsed/>
    <w:rsid w:val="00FD4D6C"/>
    <w:pPr>
      <w:tabs>
        <w:tab w:val="center" w:pos="4680"/>
        <w:tab w:val="right" w:pos="9360"/>
      </w:tabs>
      <w:spacing w:line="240" w:lineRule="auto"/>
    </w:pPr>
  </w:style>
  <w:style w:type="character" w:customStyle="1" w:styleId="FooterChar">
    <w:name w:val="Footer Char"/>
    <w:basedOn w:val="DefaultParagraphFont"/>
    <w:link w:val="Footer"/>
    <w:uiPriority w:val="99"/>
    <w:rsid w:val="00FD4D6C"/>
    <w:rPr>
      <w:rFonts w:ascii="Times New Roman" w:hAnsi="Times New Roman"/>
      <w:sz w:val="24"/>
    </w:rPr>
  </w:style>
  <w:style w:type="paragraph" w:styleId="ListParagraph">
    <w:name w:val="List Paragraph"/>
    <w:basedOn w:val="Normal"/>
    <w:uiPriority w:val="34"/>
    <w:qFormat/>
    <w:rsid w:val="00C112DF"/>
    <w:pPr>
      <w:spacing w:line="240" w:lineRule="auto"/>
      <w:ind w:left="720"/>
      <w:contextualSpacing/>
    </w:pPr>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diagramData" Target="diagrams/data1.xml" /><Relationship Id="rId12"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microsoft.com/office/2007/relationships/diagramDrawing" Target="diagrams/drawing1.xml" /><Relationship Id="rId5" Type="http://schemas.openxmlformats.org/officeDocument/2006/relationships/footnotes" Target="footnotes.xml" /><Relationship Id="rId10" Type="http://schemas.openxmlformats.org/officeDocument/2006/relationships/diagramColors" Target="diagrams/colors1.xml" /><Relationship Id="rId4" Type="http://schemas.openxmlformats.org/officeDocument/2006/relationships/webSettings" Target="webSettings.xml" /><Relationship Id="rId9" Type="http://schemas.openxmlformats.org/officeDocument/2006/relationships/diagramQuickStyle" Target="diagrams/quickStyle1.xml" /><Relationship Id="rId14" Type="http://schemas.openxmlformats.org/officeDocument/2006/relationships/theme" Target="theme/theme1.xml" /></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22FFB4-7205-6949-9AAF-40EEA8AFD3D9}" type="doc">
      <dgm:prSet loTypeId="urn:microsoft.com/office/officeart/2005/8/layout/bProcess4#2" qsTypeId="urn:microsoft.com/office/officeart/2005/8/quickstyle/3D1#2" qsCatId="3D" csTypeId="urn:microsoft.com/office/officeart/2005/8/colors/colorful5" csCatId="colorful" phldr="1"/>
      <dgm:spPr/>
      <dgm:t>
        <a:bodyPr/>
        <a:lstStyle/>
        <a:p>
          <a:endParaRPr lang="en-US"/>
        </a:p>
      </dgm:t>
    </dgm:pt>
    <dgm:pt modelId="{1B9A7C06-E65A-334A-AC57-BE8752073102}">
      <dgm:prSet phldrT="[Text]"/>
      <dgm:spPr/>
      <dgm:t>
        <a:bodyPr/>
        <a:lstStyle/>
        <a:p>
          <a:r>
            <a:rPr lang="en-US"/>
            <a:t>Recruitment recognition</a:t>
          </a:r>
        </a:p>
      </dgm:t>
    </dgm:pt>
    <dgm:pt modelId="{FAD21B04-6142-B744-920E-D92CA8FF6860}" type="parTrans" cxnId="{37E42ED9-EEF0-8446-BA27-A19A11EF3176}">
      <dgm:prSet/>
      <dgm:spPr/>
      <dgm:t>
        <a:bodyPr/>
        <a:lstStyle/>
        <a:p>
          <a:endParaRPr lang="en-US"/>
        </a:p>
      </dgm:t>
    </dgm:pt>
    <dgm:pt modelId="{0C250232-7D42-BF4C-BA7B-DF1A4707E7BE}" type="sibTrans" cxnId="{37E42ED9-EEF0-8446-BA27-A19A11EF3176}">
      <dgm:prSet/>
      <dgm:spPr/>
      <dgm:t>
        <a:bodyPr/>
        <a:lstStyle/>
        <a:p>
          <a:endParaRPr lang="en-US"/>
        </a:p>
      </dgm:t>
    </dgm:pt>
    <dgm:pt modelId="{7665B879-5708-D24E-B68F-BBBAEB0D0BF6}">
      <dgm:prSet phldrT="[Text]"/>
      <dgm:spPr/>
      <dgm:t>
        <a:bodyPr/>
        <a:lstStyle/>
        <a:p>
          <a:r>
            <a:rPr lang="en-US"/>
            <a:t>Job</a:t>
          </a:r>
          <a:r>
            <a:rPr lang="en-US" baseline="0"/>
            <a:t> summary </a:t>
          </a:r>
          <a:endParaRPr lang="en-US"/>
        </a:p>
      </dgm:t>
    </dgm:pt>
    <dgm:pt modelId="{3F789F60-9EE8-FD43-897E-B0E2569310CC}" type="parTrans" cxnId="{A758AE2E-B064-9941-BB14-152313697B45}">
      <dgm:prSet/>
      <dgm:spPr/>
      <dgm:t>
        <a:bodyPr/>
        <a:lstStyle/>
        <a:p>
          <a:endParaRPr lang="en-US"/>
        </a:p>
      </dgm:t>
    </dgm:pt>
    <dgm:pt modelId="{73C29B42-A3E1-0C42-B55E-28A2E0110352}" type="sibTrans" cxnId="{A758AE2E-B064-9941-BB14-152313697B45}">
      <dgm:prSet/>
      <dgm:spPr/>
      <dgm:t>
        <a:bodyPr/>
        <a:lstStyle/>
        <a:p>
          <a:endParaRPr lang="en-US"/>
        </a:p>
      </dgm:t>
    </dgm:pt>
    <dgm:pt modelId="{BF133029-A204-114A-AC3C-6B0486CDA104}">
      <dgm:prSet phldrT="[Text]"/>
      <dgm:spPr/>
      <dgm:t>
        <a:bodyPr/>
        <a:lstStyle/>
        <a:p>
          <a:r>
            <a:rPr lang="en-US"/>
            <a:t>Vacancy publicity</a:t>
          </a:r>
        </a:p>
      </dgm:t>
    </dgm:pt>
    <dgm:pt modelId="{F1699207-EAE6-8F4B-963B-66A274BB097C}" type="parTrans" cxnId="{158F9F5A-9362-C44D-88BE-6A44D8C37AB4}">
      <dgm:prSet/>
      <dgm:spPr/>
      <dgm:t>
        <a:bodyPr/>
        <a:lstStyle/>
        <a:p>
          <a:endParaRPr lang="en-US"/>
        </a:p>
      </dgm:t>
    </dgm:pt>
    <dgm:pt modelId="{C7ADD991-A5E2-5E40-94C1-D4D1F20A0000}" type="sibTrans" cxnId="{158F9F5A-9362-C44D-88BE-6A44D8C37AB4}">
      <dgm:prSet/>
      <dgm:spPr/>
      <dgm:t>
        <a:bodyPr/>
        <a:lstStyle/>
        <a:p>
          <a:endParaRPr lang="en-US"/>
        </a:p>
      </dgm:t>
    </dgm:pt>
    <dgm:pt modelId="{900485D2-8C88-0342-B9B3-E93DCF29D09C}">
      <dgm:prSet phldrT="[Text]"/>
      <dgm:spPr/>
      <dgm:t>
        <a:bodyPr/>
        <a:lstStyle/>
        <a:p>
          <a:r>
            <a:rPr lang="en-US" baseline="0"/>
            <a:t>Request and shortlisting</a:t>
          </a:r>
          <a:endParaRPr lang="en-US"/>
        </a:p>
      </dgm:t>
    </dgm:pt>
    <dgm:pt modelId="{F6D50DB2-4ADF-DA42-8660-6A31F290BADC}" type="parTrans" cxnId="{C74ECB93-45EE-4440-A66D-981D5650868F}">
      <dgm:prSet/>
      <dgm:spPr/>
      <dgm:t>
        <a:bodyPr/>
        <a:lstStyle/>
        <a:p>
          <a:endParaRPr lang="en-US"/>
        </a:p>
      </dgm:t>
    </dgm:pt>
    <dgm:pt modelId="{4CC84AB8-056E-674C-8C13-4AAC7D5600F2}" type="sibTrans" cxnId="{C74ECB93-45EE-4440-A66D-981D5650868F}">
      <dgm:prSet/>
      <dgm:spPr/>
      <dgm:t>
        <a:bodyPr/>
        <a:lstStyle/>
        <a:p>
          <a:endParaRPr lang="en-US"/>
        </a:p>
      </dgm:t>
    </dgm:pt>
    <dgm:pt modelId="{26B45AF1-3624-C647-AED5-9A3FD2D5549E}">
      <dgm:prSet phldrT="[Text]"/>
      <dgm:spPr/>
      <dgm:t>
        <a:bodyPr/>
        <a:lstStyle/>
        <a:p>
          <a:r>
            <a:rPr lang="en-US"/>
            <a:t>selection and interview</a:t>
          </a:r>
        </a:p>
      </dgm:t>
    </dgm:pt>
    <dgm:pt modelId="{92969704-67C2-EE49-9226-C2A4549F55A2}" type="parTrans" cxnId="{9F635FBA-9320-7C47-8C2B-A2B0F81A9515}">
      <dgm:prSet/>
      <dgm:spPr/>
      <dgm:t>
        <a:bodyPr/>
        <a:lstStyle/>
        <a:p>
          <a:endParaRPr lang="en-US"/>
        </a:p>
      </dgm:t>
    </dgm:pt>
    <dgm:pt modelId="{92C87788-359A-5446-B343-010CD24E0EBA}" type="sibTrans" cxnId="{9F635FBA-9320-7C47-8C2B-A2B0F81A9515}">
      <dgm:prSet/>
      <dgm:spPr/>
      <dgm:t>
        <a:bodyPr/>
        <a:lstStyle/>
        <a:p>
          <a:endParaRPr lang="en-US"/>
        </a:p>
      </dgm:t>
    </dgm:pt>
    <dgm:pt modelId="{93C85510-40FC-6A4F-A8E9-A3CD7F76A4A9}">
      <dgm:prSet phldrT="[Text]"/>
      <dgm:spPr/>
      <dgm:t>
        <a:bodyPr/>
        <a:lstStyle/>
        <a:p>
          <a:r>
            <a:rPr lang="en-US"/>
            <a:t>The hiring of new staffs</a:t>
          </a:r>
        </a:p>
      </dgm:t>
    </dgm:pt>
    <dgm:pt modelId="{2BB8AF11-9239-3A4A-A241-9B0051ABD17F}" type="parTrans" cxnId="{50D456E7-BE5D-C84B-B667-DF65728355CE}">
      <dgm:prSet/>
      <dgm:spPr/>
      <dgm:t>
        <a:bodyPr/>
        <a:lstStyle/>
        <a:p>
          <a:endParaRPr lang="en-US"/>
        </a:p>
      </dgm:t>
    </dgm:pt>
    <dgm:pt modelId="{EADBAA09-3593-F044-9A32-8B46AB6B9B27}" type="sibTrans" cxnId="{50D456E7-BE5D-C84B-B667-DF65728355CE}">
      <dgm:prSet/>
      <dgm:spPr/>
      <dgm:t>
        <a:bodyPr/>
        <a:lstStyle/>
        <a:p>
          <a:endParaRPr lang="en-US"/>
        </a:p>
      </dgm:t>
    </dgm:pt>
    <dgm:pt modelId="{60BF550D-7097-E34B-9738-3755FD3D0013}">
      <dgm:prSet phldrT="[Text]"/>
      <dgm:spPr/>
      <dgm:t>
        <a:bodyPr/>
        <a:lstStyle/>
        <a:p>
          <a:r>
            <a:rPr lang="en-US"/>
            <a:t>Equal</a:t>
          </a:r>
          <a:r>
            <a:rPr lang="en-US" baseline="0"/>
            <a:t> chances </a:t>
          </a:r>
          <a:endParaRPr lang="en-US"/>
        </a:p>
      </dgm:t>
    </dgm:pt>
    <dgm:pt modelId="{C5025671-D2F4-B84E-9212-A6A69B40E8C0}" type="parTrans" cxnId="{3A9D0197-9BF5-2D44-BBF3-10891D709D4C}">
      <dgm:prSet/>
      <dgm:spPr/>
      <dgm:t>
        <a:bodyPr/>
        <a:lstStyle/>
        <a:p>
          <a:endParaRPr lang="en-US"/>
        </a:p>
      </dgm:t>
    </dgm:pt>
    <dgm:pt modelId="{59FF72BD-40A5-7E44-8B09-C8082BB9263C}" type="sibTrans" cxnId="{3A9D0197-9BF5-2D44-BBF3-10891D709D4C}">
      <dgm:prSet/>
      <dgm:spPr/>
      <dgm:t>
        <a:bodyPr/>
        <a:lstStyle/>
        <a:p>
          <a:endParaRPr lang="en-US"/>
        </a:p>
      </dgm:t>
    </dgm:pt>
    <dgm:pt modelId="{E5E6E787-A556-2E4F-B4C5-F08B98423C86}" type="pres">
      <dgm:prSet presAssocID="{7122FFB4-7205-6949-9AAF-40EEA8AFD3D9}" presName="Name0" presStyleCnt="0">
        <dgm:presLayoutVars>
          <dgm:dir/>
          <dgm:resizeHandles/>
        </dgm:presLayoutVars>
      </dgm:prSet>
      <dgm:spPr/>
    </dgm:pt>
    <dgm:pt modelId="{1546FF2E-C345-AD4D-ABAB-A0CCF25ED814}" type="pres">
      <dgm:prSet presAssocID="{1B9A7C06-E65A-334A-AC57-BE8752073102}" presName="compNode" presStyleCnt="0"/>
      <dgm:spPr/>
    </dgm:pt>
    <dgm:pt modelId="{A4D921E6-79C5-3F4E-B59F-A229ACFE20A1}" type="pres">
      <dgm:prSet presAssocID="{1B9A7C06-E65A-334A-AC57-BE8752073102}" presName="dummyConnPt" presStyleCnt="0"/>
      <dgm:spPr/>
    </dgm:pt>
    <dgm:pt modelId="{B1CDA558-3438-074D-9B9F-031A5BA2D369}" type="pres">
      <dgm:prSet presAssocID="{1B9A7C06-E65A-334A-AC57-BE8752073102}" presName="node" presStyleLbl="node1" presStyleIdx="0" presStyleCnt="7" custLinFactNeighborX="-9832" custLinFactNeighborY="-862">
        <dgm:presLayoutVars>
          <dgm:bulletEnabled val="1"/>
        </dgm:presLayoutVars>
      </dgm:prSet>
      <dgm:spPr/>
    </dgm:pt>
    <dgm:pt modelId="{E5AD27D4-69B1-894A-B78D-E3AA27726111}" type="pres">
      <dgm:prSet presAssocID="{0C250232-7D42-BF4C-BA7B-DF1A4707E7BE}" presName="sibTrans" presStyleLbl="bgSibTrans2D1" presStyleIdx="0" presStyleCnt="6"/>
      <dgm:spPr/>
    </dgm:pt>
    <dgm:pt modelId="{1EBD3005-625C-5F41-A515-D57BC568877F}" type="pres">
      <dgm:prSet presAssocID="{7665B879-5708-D24E-B68F-BBBAEB0D0BF6}" presName="compNode" presStyleCnt="0"/>
      <dgm:spPr/>
    </dgm:pt>
    <dgm:pt modelId="{520D1F8F-3FD4-494C-B7C4-BDA7B833D7DD}" type="pres">
      <dgm:prSet presAssocID="{7665B879-5708-D24E-B68F-BBBAEB0D0BF6}" presName="dummyConnPt" presStyleCnt="0"/>
      <dgm:spPr/>
    </dgm:pt>
    <dgm:pt modelId="{B1A79FB2-5302-C441-95A5-503C704C08AC}" type="pres">
      <dgm:prSet presAssocID="{7665B879-5708-D24E-B68F-BBBAEB0D0BF6}" presName="node" presStyleLbl="node1" presStyleIdx="1" presStyleCnt="7">
        <dgm:presLayoutVars>
          <dgm:bulletEnabled val="1"/>
        </dgm:presLayoutVars>
      </dgm:prSet>
      <dgm:spPr/>
    </dgm:pt>
    <dgm:pt modelId="{92B2BBF9-44AA-604D-A3F4-43883AE640C5}" type="pres">
      <dgm:prSet presAssocID="{73C29B42-A3E1-0C42-B55E-28A2E0110352}" presName="sibTrans" presStyleLbl="bgSibTrans2D1" presStyleIdx="1" presStyleCnt="6"/>
      <dgm:spPr/>
    </dgm:pt>
    <dgm:pt modelId="{96B5ECF1-24ED-7F47-BFB6-09EE6C366D10}" type="pres">
      <dgm:prSet presAssocID="{BF133029-A204-114A-AC3C-6B0486CDA104}" presName="compNode" presStyleCnt="0"/>
      <dgm:spPr/>
    </dgm:pt>
    <dgm:pt modelId="{62D3509D-F2DF-354C-90FA-46C796D6E705}" type="pres">
      <dgm:prSet presAssocID="{BF133029-A204-114A-AC3C-6B0486CDA104}" presName="dummyConnPt" presStyleCnt="0"/>
      <dgm:spPr/>
    </dgm:pt>
    <dgm:pt modelId="{5C65827F-1A6E-6749-BAE8-A858B3C2E00F}" type="pres">
      <dgm:prSet presAssocID="{BF133029-A204-114A-AC3C-6B0486CDA104}" presName="node" presStyleLbl="node1" presStyleIdx="2" presStyleCnt="7">
        <dgm:presLayoutVars>
          <dgm:bulletEnabled val="1"/>
        </dgm:presLayoutVars>
      </dgm:prSet>
      <dgm:spPr/>
    </dgm:pt>
    <dgm:pt modelId="{F65F6438-BDA5-9141-A2B8-793D7DB70885}" type="pres">
      <dgm:prSet presAssocID="{C7ADD991-A5E2-5E40-94C1-D4D1F20A0000}" presName="sibTrans" presStyleLbl="bgSibTrans2D1" presStyleIdx="2" presStyleCnt="6"/>
      <dgm:spPr/>
    </dgm:pt>
    <dgm:pt modelId="{A3121AD1-09A8-BE4B-87D2-DF5321491F09}" type="pres">
      <dgm:prSet presAssocID="{900485D2-8C88-0342-B9B3-E93DCF29D09C}" presName="compNode" presStyleCnt="0"/>
      <dgm:spPr/>
    </dgm:pt>
    <dgm:pt modelId="{8CAD4694-CC6A-FC41-85BB-C0815D0E33D1}" type="pres">
      <dgm:prSet presAssocID="{900485D2-8C88-0342-B9B3-E93DCF29D09C}" presName="dummyConnPt" presStyleCnt="0"/>
      <dgm:spPr/>
    </dgm:pt>
    <dgm:pt modelId="{11AD8F61-060E-454D-BE9D-3AE4741324B9}" type="pres">
      <dgm:prSet presAssocID="{900485D2-8C88-0342-B9B3-E93DCF29D09C}" presName="node" presStyleLbl="node1" presStyleIdx="3" presStyleCnt="7">
        <dgm:presLayoutVars>
          <dgm:bulletEnabled val="1"/>
        </dgm:presLayoutVars>
      </dgm:prSet>
      <dgm:spPr/>
    </dgm:pt>
    <dgm:pt modelId="{2A8E642E-5D69-9D47-87AF-CFE1149E4243}" type="pres">
      <dgm:prSet presAssocID="{4CC84AB8-056E-674C-8C13-4AAC7D5600F2}" presName="sibTrans" presStyleLbl="bgSibTrans2D1" presStyleIdx="3" presStyleCnt="6"/>
      <dgm:spPr/>
    </dgm:pt>
    <dgm:pt modelId="{1D6421BC-711D-614F-AC3B-960BAEA9B70C}" type="pres">
      <dgm:prSet presAssocID="{26B45AF1-3624-C647-AED5-9A3FD2D5549E}" presName="compNode" presStyleCnt="0"/>
      <dgm:spPr/>
    </dgm:pt>
    <dgm:pt modelId="{A8436C56-B085-8A4F-8FA2-9BDBF534BD81}" type="pres">
      <dgm:prSet presAssocID="{26B45AF1-3624-C647-AED5-9A3FD2D5549E}" presName="dummyConnPt" presStyleCnt="0"/>
      <dgm:spPr/>
    </dgm:pt>
    <dgm:pt modelId="{C218F9A0-C737-F04C-898C-A312140A2A9F}" type="pres">
      <dgm:prSet presAssocID="{26B45AF1-3624-C647-AED5-9A3FD2D5549E}" presName="node" presStyleLbl="node1" presStyleIdx="4" presStyleCnt="7">
        <dgm:presLayoutVars>
          <dgm:bulletEnabled val="1"/>
        </dgm:presLayoutVars>
      </dgm:prSet>
      <dgm:spPr/>
    </dgm:pt>
    <dgm:pt modelId="{0C4A725D-79CB-0A4C-B71D-F96A76862F0C}" type="pres">
      <dgm:prSet presAssocID="{92C87788-359A-5446-B343-010CD24E0EBA}" presName="sibTrans" presStyleLbl="bgSibTrans2D1" presStyleIdx="4" presStyleCnt="6"/>
      <dgm:spPr/>
    </dgm:pt>
    <dgm:pt modelId="{99683B80-8D93-4A40-8C32-0ED7ECCB7916}" type="pres">
      <dgm:prSet presAssocID="{93C85510-40FC-6A4F-A8E9-A3CD7F76A4A9}" presName="compNode" presStyleCnt="0"/>
      <dgm:spPr/>
    </dgm:pt>
    <dgm:pt modelId="{C3BAEC3A-FDBC-294A-9674-A8EC401E7D2C}" type="pres">
      <dgm:prSet presAssocID="{93C85510-40FC-6A4F-A8E9-A3CD7F76A4A9}" presName="dummyConnPt" presStyleCnt="0"/>
      <dgm:spPr/>
    </dgm:pt>
    <dgm:pt modelId="{8610CE55-2CAE-AE48-A81F-9025D61437E2}" type="pres">
      <dgm:prSet presAssocID="{93C85510-40FC-6A4F-A8E9-A3CD7F76A4A9}" presName="node" presStyleLbl="node1" presStyleIdx="5" presStyleCnt="7">
        <dgm:presLayoutVars>
          <dgm:bulletEnabled val="1"/>
        </dgm:presLayoutVars>
      </dgm:prSet>
      <dgm:spPr/>
    </dgm:pt>
    <dgm:pt modelId="{CBCB84FA-5030-1744-9429-5E4EDAC87AA9}" type="pres">
      <dgm:prSet presAssocID="{EADBAA09-3593-F044-9A32-8B46AB6B9B27}" presName="sibTrans" presStyleLbl="bgSibTrans2D1" presStyleIdx="5" presStyleCnt="6"/>
      <dgm:spPr/>
    </dgm:pt>
    <dgm:pt modelId="{64724EBB-150A-5849-A194-51DD0658FD9C}" type="pres">
      <dgm:prSet presAssocID="{60BF550D-7097-E34B-9738-3755FD3D0013}" presName="compNode" presStyleCnt="0"/>
      <dgm:spPr/>
    </dgm:pt>
    <dgm:pt modelId="{35F0E292-5D85-F941-8AAE-09A64D311D08}" type="pres">
      <dgm:prSet presAssocID="{60BF550D-7097-E34B-9738-3755FD3D0013}" presName="dummyConnPt" presStyleCnt="0"/>
      <dgm:spPr/>
    </dgm:pt>
    <dgm:pt modelId="{6A464F00-EEED-CA48-B5D5-72ACFC7FA8E8}" type="pres">
      <dgm:prSet presAssocID="{60BF550D-7097-E34B-9738-3755FD3D0013}" presName="node" presStyleLbl="node1" presStyleIdx="6" presStyleCnt="7">
        <dgm:presLayoutVars>
          <dgm:bulletEnabled val="1"/>
        </dgm:presLayoutVars>
      </dgm:prSet>
      <dgm:spPr/>
    </dgm:pt>
  </dgm:ptLst>
  <dgm:cxnLst>
    <dgm:cxn modelId="{BBB1B609-5D01-A643-83C5-8A5256ACEF0C}" type="presOf" srcId="{26B45AF1-3624-C647-AED5-9A3FD2D5549E}" destId="{C218F9A0-C737-F04C-898C-A312140A2A9F}" srcOrd="0" destOrd="0" presId="urn:microsoft.com/office/officeart/2005/8/layout/bProcess4#2"/>
    <dgm:cxn modelId="{0E4D680B-8D29-8849-AD74-3198661F2372}" type="presOf" srcId="{73C29B42-A3E1-0C42-B55E-28A2E0110352}" destId="{92B2BBF9-44AA-604D-A3F4-43883AE640C5}" srcOrd="0" destOrd="0" presId="urn:microsoft.com/office/officeart/2005/8/layout/bProcess4#2"/>
    <dgm:cxn modelId="{82849A14-A9C3-6840-AC90-EE7D600C15E4}" type="presOf" srcId="{BF133029-A204-114A-AC3C-6B0486CDA104}" destId="{5C65827F-1A6E-6749-BAE8-A858B3C2E00F}" srcOrd="0" destOrd="0" presId="urn:microsoft.com/office/officeart/2005/8/layout/bProcess4#2"/>
    <dgm:cxn modelId="{1422AC1A-1139-6D44-AD67-A3F3CB64C962}" type="presOf" srcId="{60BF550D-7097-E34B-9738-3755FD3D0013}" destId="{6A464F00-EEED-CA48-B5D5-72ACFC7FA8E8}" srcOrd="0" destOrd="0" presId="urn:microsoft.com/office/officeart/2005/8/layout/bProcess4#2"/>
    <dgm:cxn modelId="{A758AE2E-B064-9941-BB14-152313697B45}" srcId="{7122FFB4-7205-6949-9AAF-40EEA8AFD3D9}" destId="{7665B879-5708-D24E-B68F-BBBAEB0D0BF6}" srcOrd="1" destOrd="0" parTransId="{3F789F60-9EE8-FD43-897E-B0E2569310CC}" sibTransId="{73C29B42-A3E1-0C42-B55E-28A2E0110352}"/>
    <dgm:cxn modelId="{016A3E31-915E-4944-9F87-3AAC919B91EE}" type="presOf" srcId="{93C85510-40FC-6A4F-A8E9-A3CD7F76A4A9}" destId="{8610CE55-2CAE-AE48-A81F-9025D61437E2}" srcOrd="0" destOrd="0" presId="urn:microsoft.com/office/officeart/2005/8/layout/bProcess4#2"/>
    <dgm:cxn modelId="{07AD6236-4D4C-1647-9945-D6C59942D1B6}" type="presOf" srcId="{7122FFB4-7205-6949-9AAF-40EEA8AFD3D9}" destId="{E5E6E787-A556-2E4F-B4C5-F08B98423C86}" srcOrd="0" destOrd="0" presId="urn:microsoft.com/office/officeart/2005/8/layout/bProcess4#2"/>
    <dgm:cxn modelId="{2D89E75C-45D9-8843-BA87-2D793D98D707}" type="presOf" srcId="{7665B879-5708-D24E-B68F-BBBAEB0D0BF6}" destId="{B1A79FB2-5302-C441-95A5-503C704C08AC}" srcOrd="0" destOrd="0" presId="urn:microsoft.com/office/officeart/2005/8/layout/bProcess4#2"/>
    <dgm:cxn modelId="{AC54D04C-5797-994B-9E88-282FFA2C8D76}" type="presOf" srcId="{EADBAA09-3593-F044-9A32-8B46AB6B9B27}" destId="{CBCB84FA-5030-1744-9429-5E4EDAC87AA9}" srcOrd="0" destOrd="0" presId="urn:microsoft.com/office/officeart/2005/8/layout/bProcess4#2"/>
    <dgm:cxn modelId="{C660D64D-A168-C842-931D-ACA3C87F6595}" type="presOf" srcId="{0C250232-7D42-BF4C-BA7B-DF1A4707E7BE}" destId="{E5AD27D4-69B1-894A-B78D-E3AA27726111}" srcOrd="0" destOrd="0" presId="urn:microsoft.com/office/officeart/2005/8/layout/bProcess4#2"/>
    <dgm:cxn modelId="{158F9F5A-9362-C44D-88BE-6A44D8C37AB4}" srcId="{7122FFB4-7205-6949-9AAF-40EEA8AFD3D9}" destId="{BF133029-A204-114A-AC3C-6B0486CDA104}" srcOrd="2" destOrd="0" parTransId="{F1699207-EAE6-8F4B-963B-66A274BB097C}" sibTransId="{C7ADD991-A5E2-5E40-94C1-D4D1F20A0000}"/>
    <dgm:cxn modelId="{6AB1C97E-623B-7942-A2B1-AA0232B1A279}" type="presOf" srcId="{900485D2-8C88-0342-B9B3-E93DCF29D09C}" destId="{11AD8F61-060E-454D-BE9D-3AE4741324B9}" srcOrd="0" destOrd="0" presId="urn:microsoft.com/office/officeart/2005/8/layout/bProcess4#2"/>
    <dgm:cxn modelId="{C74ECB93-45EE-4440-A66D-981D5650868F}" srcId="{7122FFB4-7205-6949-9AAF-40EEA8AFD3D9}" destId="{900485D2-8C88-0342-B9B3-E93DCF29D09C}" srcOrd="3" destOrd="0" parTransId="{F6D50DB2-4ADF-DA42-8660-6A31F290BADC}" sibTransId="{4CC84AB8-056E-674C-8C13-4AAC7D5600F2}"/>
    <dgm:cxn modelId="{3A9D0197-9BF5-2D44-BBF3-10891D709D4C}" srcId="{7122FFB4-7205-6949-9AAF-40EEA8AFD3D9}" destId="{60BF550D-7097-E34B-9738-3755FD3D0013}" srcOrd="6" destOrd="0" parTransId="{C5025671-D2F4-B84E-9212-A6A69B40E8C0}" sibTransId="{59FF72BD-40A5-7E44-8B09-C8082BB9263C}"/>
    <dgm:cxn modelId="{9F635FBA-9320-7C47-8C2B-A2B0F81A9515}" srcId="{7122FFB4-7205-6949-9AAF-40EEA8AFD3D9}" destId="{26B45AF1-3624-C647-AED5-9A3FD2D5549E}" srcOrd="4" destOrd="0" parTransId="{92969704-67C2-EE49-9226-C2A4549F55A2}" sibTransId="{92C87788-359A-5446-B343-010CD24E0EBA}"/>
    <dgm:cxn modelId="{6D89F7C2-D079-FD49-A9C4-59FC3D38D1C9}" type="presOf" srcId="{92C87788-359A-5446-B343-010CD24E0EBA}" destId="{0C4A725D-79CB-0A4C-B71D-F96A76862F0C}" srcOrd="0" destOrd="0" presId="urn:microsoft.com/office/officeart/2005/8/layout/bProcess4#2"/>
    <dgm:cxn modelId="{37E42ED9-EEF0-8446-BA27-A19A11EF3176}" srcId="{7122FFB4-7205-6949-9AAF-40EEA8AFD3D9}" destId="{1B9A7C06-E65A-334A-AC57-BE8752073102}" srcOrd="0" destOrd="0" parTransId="{FAD21B04-6142-B744-920E-D92CA8FF6860}" sibTransId="{0C250232-7D42-BF4C-BA7B-DF1A4707E7BE}"/>
    <dgm:cxn modelId="{50B232DB-5972-694C-8456-4A44A6B402FE}" type="presOf" srcId="{4CC84AB8-056E-674C-8C13-4AAC7D5600F2}" destId="{2A8E642E-5D69-9D47-87AF-CFE1149E4243}" srcOrd="0" destOrd="0" presId="urn:microsoft.com/office/officeart/2005/8/layout/bProcess4#2"/>
    <dgm:cxn modelId="{50D456E7-BE5D-C84B-B667-DF65728355CE}" srcId="{7122FFB4-7205-6949-9AAF-40EEA8AFD3D9}" destId="{93C85510-40FC-6A4F-A8E9-A3CD7F76A4A9}" srcOrd="5" destOrd="0" parTransId="{2BB8AF11-9239-3A4A-A241-9B0051ABD17F}" sibTransId="{EADBAA09-3593-F044-9A32-8B46AB6B9B27}"/>
    <dgm:cxn modelId="{669CC9F0-7692-5444-B8E7-5E749F618BD8}" type="presOf" srcId="{1B9A7C06-E65A-334A-AC57-BE8752073102}" destId="{B1CDA558-3438-074D-9B9F-031A5BA2D369}" srcOrd="0" destOrd="0" presId="urn:microsoft.com/office/officeart/2005/8/layout/bProcess4#2"/>
    <dgm:cxn modelId="{48B5C8F3-067C-5A4C-88F6-9E9AA231FC83}" type="presOf" srcId="{C7ADD991-A5E2-5E40-94C1-D4D1F20A0000}" destId="{F65F6438-BDA5-9141-A2B8-793D7DB70885}" srcOrd="0" destOrd="0" presId="urn:microsoft.com/office/officeart/2005/8/layout/bProcess4#2"/>
    <dgm:cxn modelId="{882B5175-3315-B04A-A08A-CE23F2B21871}" type="presParOf" srcId="{E5E6E787-A556-2E4F-B4C5-F08B98423C86}" destId="{1546FF2E-C345-AD4D-ABAB-A0CCF25ED814}" srcOrd="0" destOrd="0" presId="urn:microsoft.com/office/officeart/2005/8/layout/bProcess4#2"/>
    <dgm:cxn modelId="{B98EE4CE-9CAB-2040-8C2E-75DEF90A6286}" type="presParOf" srcId="{1546FF2E-C345-AD4D-ABAB-A0CCF25ED814}" destId="{A4D921E6-79C5-3F4E-B59F-A229ACFE20A1}" srcOrd="0" destOrd="0" presId="urn:microsoft.com/office/officeart/2005/8/layout/bProcess4#2"/>
    <dgm:cxn modelId="{3051F5AD-3E10-BC48-9635-FD4C77897E85}" type="presParOf" srcId="{1546FF2E-C345-AD4D-ABAB-A0CCF25ED814}" destId="{B1CDA558-3438-074D-9B9F-031A5BA2D369}" srcOrd="1" destOrd="0" presId="urn:microsoft.com/office/officeart/2005/8/layout/bProcess4#2"/>
    <dgm:cxn modelId="{63A2466B-965A-7341-BE8E-5309CC231DBF}" type="presParOf" srcId="{E5E6E787-A556-2E4F-B4C5-F08B98423C86}" destId="{E5AD27D4-69B1-894A-B78D-E3AA27726111}" srcOrd="1" destOrd="0" presId="urn:microsoft.com/office/officeart/2005/8/layout/bProcess4#2"/>
    <dgm:cxn modelId="{DF519EEF-F0AE-3641-8B00-2ADF2C7562D0}" type="presParOf" srcId="{E5E6E787-A556-2E4F-B4C5-F08B98423C86}" destId="{1EBD3005-625C-5F41-A515-D57BC568877F}" srcOrd="2" destOrd="0" presId="urn:microsoft.com/office/officeart/2005/8/layout/bProcess4#2"/>
    <dgm:cxn modelId="{9201A1CE-FA0C-D844-A9A3-E14AD81D37E0}" type="presParOf" srcId="{1EBD3005-625C-5F41-A515-D57BC568877F}" destId="{520D1F8F-3FD4-494C-B7C4-BDA7B833D7DD}" srcOrd="0" destOrd="0" presId="urn:microsoft.com/office/officeart/2005/8/layout/bProcess4#2"/>
    <dgm:cxn modelId="{CE6F90AB-9048-8642-8183-E7B58D34FF04}" type="presParOf" srcId="{1EBD3005-625C-5F41-A515-D57BC568877F}" destId="{B1A79FB2-5302-C441-95A5-503C704C08AC}" srcOrd="1" destOrd="0" presId="urn:microsoft.com/office/officeart/2005/8/layout/bProcess4#2"/>
    <dgm:cxn modelId="{118ABAA9-E808-924B-BB6E-73EC55484A9A}" type="presParOf" srcId="{E5E6E787-A556-2E4F-B4C5-F08B98423C86}" destId="{92B2BBF9-44AA-604D-A3F4-43883AE640C5}" srcOrd="3" destOrd="0" presId="urn:microsoft.com/office/officeart/2005/8/layout/bProcess4#2"/>
    <dgm:cxn modelId="{2B544782-32E8-BE41-AD3A-D50B1882D7FE}" type="presParOf" srcId="{E5E6E787-A556-2E4F-B4C5-F08B98423C86}" destId="{96B5ECF1-24ED-7F47-BFB6-09EE6C366D10}" srcOrd="4" destOrd="0" presId="urn:microsoft.com/office/officeart/2005/8/layout/bProcess4#2"/>
    <dgm:cxn modelId="{0A2B3275-053E-5448-AA1D-9672A813940F}" type="presParOf" srcId="{96B5ECF1-24ED-7F47-BFB6-09EE6C366D10}" destId="{62D3509D-F2DF-354C-90FA-46C796D6E705}" srcOrd="0" destOrd="0" presId="urn:microsoft.com/office/officeart/2005/8/layout/bProcess4#2"/>
    <dgm:cxn modelId="{62A98ABB-6762-8C4E-B33E-5A7FE2A98E93}" type="presParOf" srcId="{96B5ECF1-24ED-7F47-BFB6-09EE6C366D10}" destId="{5C65827F-1A6E-6749-BAE8-A858B3C2E00F}" srcOrd="1" destOrd="0" presId="urn:microsoft.com/office/officeart/2005/8/layout/bProcess4#2"/>
    <dgm:cxn modelId="{4F70A79A-25D9-2447-93C2-C440E5BB0E3F}" type="presParOf" srcId="{E5E6E787-A556-2E4F-B4C5-F08B98423C86}" destId="{F65F6438-BDA5-9141-A2B8-793D7DB70885}" srcOrd="5" destOrd="0" presId="urn:microsoft.com/office/officeart/2005/8/layout/bProcess4#2"/>
    <dgm:cxn modelId="{5AD052C1-5A1F-014A-BB77-E2C4CA21C6E5}" type="presParOf" srcId="{E5E6E787-A556-2E4F-B4C5-F08B98423C86}" destId="{A3121AD1-09A8-BE4B-87D2-DF5321491F09}" srcOrd="6" destOrd="0" presId="urn:microsoft.com/office/officeart/2005/8/layout/bProcess4#2"/>
    <dgm:cxn modelId="{9F6687EF-CF1B-EF43-8D4D-7B87E50ED713}" type="presParOf" srcId="{A3121AD1-09A8-BE4B-87D2-DF5321491F09}" destId="{8CAD4694-CC6A-FC41-85BB-C0815D0E33D1}" srcOrd="0" destOrd="0" presId="urn:microsoft.com/office/officeart/2005/8/layout/bProcess4#2"/>
    <dgm:cxn modelId="{DC693A1E-FC82-B549-ADAA-C022860A3ED9}" type="presParOf" srcId="{A3121AD1-09A8-BE4B-87D2-DF5321491F09}" destId="{11AD8F61-060E-454D-BE9D-3AE4741324B9}" srcOrd="1" destOrd="0" presId="urn:microsoft.com/office/officeart/2005/8/layout/bProcess4#2"/>
    <dgm:cxn modelId="{552F8557-1893-6048-B01C-521C55D95EA3}" type="presParOf" srcId="{E5E6E787-A556-2E4F-B4C5-F08B98423C86}" destId="{2A8E642E-5D69-9D47-87AF-CFE1149E4243}" srcOrd="7" destOrd="0" presId="urn:microsoft.com/office/officeart/2005/8/layout/bProcess4#2"/>
    <dgm:cxn modelId="{CDA92F70-21F0-0743-B83D-5BAFADC6C977}" type="presParOf" srcId="{E5E6E787-A556-2E4F-B4C5-F08B98423C86}" destId="{1D6421BC-711D-614F-AC3B-960BAEA9B70C}" srcOrd="8" destOrd="0" presId="urn:microsoft.com/office/officeart/2005/8/layout/bProcess4#2"/>
    <dgm:cxn modelId="{C00EC088-3A02-7946-9705-3F5816F7235E}" type="presParOf" srcId="{1D6421BC-711D-614F-AC3B-960BAEA9B70C}" destId="{A8436C56-B085-8A4F-8FA2-9BDBF534BD81}" srcOrd="0" destOrd="0" presId="urn:microsoft.com/office/officeart/2005/8/layout/bProcess4#2"/>
    <dgm:cxn modelId="{7E5401B0-880B-2740-B98E-2071B4249298}" type="presParOf" srcId="{1D6421BC-711D-614F-AC3B-960BAEA9B70C}" destId="{C218F9A0-C737-F04C-898C-A312140A2A9F}" srcOrd="1" destOrd="0" presId="urn:microsoft.com/office/officeart/2005/8/layout/bProcess4#2"/>
    <dgm:cxn modelId="{92583FC9-0F30-BC46-9570-37301C7830E4}" type="presParOf" srcId="{E5E6E787-A556-2E4F-B4C5-F08B98423C86}" destId="{0C4A725D-79CB-0A4C-B71D-F96A76862F0C}" srcOrd="9" destOrd="0" presId="urn:microsoft.com/office/officeart/2005/8/layout/bProcess4#2"/>
    <dgm:cxn modelId="{9F5E3DF7-391A-504C-911F-0184D20EC7E5}" type="presParOf" srcId="{E5E6E787-A556-2E4F-B4C5-F08B98423C86}" destId="{99683B80-8D93-4A40-8C32-0ED7ECCB7916}" srcOrd="10" destOrd="0" presId="urn:microsoft.com/office/officeart/2005/8/layout/bProcess4#2"/>
    <dgm:cxn modelId="{37574ABF-619D-7C4E-9D12-31C6C48D34BB}" type="presParOf" srcId="{99683B80-8D93-4A40-8C32-0ED7ECCB7916}" destId="{C3BAEC3A-FDBC-294A-9674-A8EC401E7D2C}" srcOrd="0" destOrd="0" presId="urn:microsoft.com/office/officeart/2005/8/layout/bProcess4#2"/>
    <dgm:cxn modelId="{FE71F38E-9118-B943-876E-157CF5FE3B75}" type="presParOf" srcId="{99683B80-8D93-4A40-8C32-0ED7ECCB7916}" destId="{8610CE55-2CAE-AE48-A81F-9025D61437E2}" srcOrd="1" destOrd="0" presId="urn:microsoft.com/office/officeart/2005/8/layout/bProcess4#2"/>
    <dgm:cxn modelId="{D8114A80-0833-4F41-ABAA-F65605F9E4B9}" type="presParOf" srcId="{E5E6E787-A556-2E4F-B4C5-F08B98423C86}" destId="{CBCB84FA-5030-1744-9429-5E4EDAC87AA9}" srcOrd="11" destOrd="0" presId="urn:microsoft.com/office/officeart/2005/8/layout/bProcess4#2"/>
    <dgm:cxn modelId="{38C0BCF3-63C5-3F4D-887B-FCF2266B8BAD}" type="presParOf" srcId="{E5E6E787-A556-2E4F-B4C5-F08B98423C86}" destId="{64724EBB-150A-5849-A194-51DD0658FD9C}" srcOrd="12" destOrd="0" presId="urn:microsoft.com/office/officeart/2005/8/layout/bProcess4#2"/>
    <dgm:cxn modelId="{A31CF8FC-5923-014D-B22C-DADFAAFF24BA}" type="presParOf" srcId="{64724EBB-150A-5849-A194-51DD0658FD9C}" destId="{35F0E292-5D85-F941-8AAE-09A64D311D08}" srcOrd="0" destOrd="0" presId="urn:microsoft.com/office/officeart/2005/8/layout/bProcess4#2"/>
    <dgm:cxn modelId="{5FA00D51-46D8-E540-928E-E82061CA7999}" type="presParOf" srcId="{64724EBB-150A-5849-A194-51DD0658FD9C}" destId="{6A464F00-EEED-CA48-B5D5-72ACFC7FA8E8}" srcOrd="1" destOrd="0" presId="urn:microsoft.com/office/officeart/2005/8/layout/bProcess4#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AD27D4-69B1-894A-B78D-E3AA27726111}">
      <dsp:nvSpPr>
        <dsp:cNvPr id="0" name=""/>
        <dsp:cNvSpPr/>
      </dsp:nvSpPr>
      <dsp:spPr>
        <a:xfrm rot="5391539">
          <a:off x="-254732" y="740173"/>
          <a:ext cx="1121053" cy="134775"/>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3">
          <a:scrgbClr r="0" g="0" b="0"/>
        </a:fillRef>
        <a:effectRef idx="2">
          <a:scrgbClr r="0" g="0" b="0"/>
        </a:effectRef>
        <a:fontRef idx="minor">
          <a:schemeClr val="lt1"/>
        </a:fontRef>
      </dsp:style>
    </dsp:sp>
    <dsp:sp modelId="{B1CDA558-3438-074D-9B9F-031A5BA2D369}">
      <dsp:nvSpPr>
        <dsp:cNvPr id="0" name=""/>
        <dsp:cNvSpPr/>
      </dsp:nvSpPr>
      <dsp:spPr>
        <a:xfrm>
          <a:off x="0" y="20070"/>
          <a:ext cx="1497508" cy="898505"/>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Recruitment recognition</a:t>
          </a:r>
        </a:p>
      </dsp:txBody>
      <dsp:txXfrm>
        <a:off x="26316" y="46386"/>
        <a:ext cx="1444876" cy="845873"/>
      </dsp:txXfrm>
    </dsp:sp>
    <dsp:sp modelId="{92B2BBF9-44AA-604D-A3F4-43883AE640C5}">
      <dsp:nvSpPr>
        <dsp:cNvPr id="0" name=""/>
        <dsp:cNvSpPr/>
      </dsp:nvSpPr>
      <dsp:spPr>
        <a:xfrm rot="5400000">
          <a:off x="-249478" y="1867177"/>
          <a:ext cx="1113305" cy="134775"/>
        </a:xfrm>
        <a:prstGeom prst="rect">
          <a:avLst/>
        </a:prstGeom>
        <a:gradFill rotWithShape="0">
          <a:gsLst>
            <a:gs pos="0">
              <a:schemeClr val="accent5">
                <a:hueOff val="-1986775"/>
                <a:satOff val="7962"/>
                <a:lumOff val="1726"/>
                <a:alphaOff val="0"/>
                <a:shade val="51000"/>
                <a:satMod val="130000"/>
              </a:schemeClr>
            </a:gs>
            <a:gs pos="80000">
              <a:schemeClr val="accent5">
                <a:hueOff val="-1986775"/>
                <a:satOff val="7962"/>
                <a:lumOff val="1726"/>
                <a:alphaOff val="0"/>
                <a:shade val="93000"/>
                <a:satMod val="130000"/>
              </a:schemeClr>
            </a:gs>
            <a:gs pos="100000">
              <a:schemeClr val="accent5">
                <a:hueOff val="-1986775"/>
                <a:satOff val="7962"/>
                <a:lumOff val="172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3">
          <a:scrgbClr r="0" g="0" b="0"/>
        </a:fillRef>
        <a:effectRef idx="2">
          <a:scrgbClr r="0" g="0" b="0"/>
        </a:effectRef>
        <a:fontRef idx="minor">
          <a:schemeClr val="lt1"/>
        </a:fontRef>
      </dsp:style>
    </dsp:sp>
    <dsp:sp modelId="{B1A79FB2-5302-C441-95A5-503C704C08AC}">
      <dsp:nvSpPr>
        <dsp:cNvPr id="0" name=""/>
        <dsp:cNvSpPr/>
      </dsp:nvSpPr>
      <dsp:spPr>
        <a:xfrm>
          <a:off x="2759" y="1150947"/>
          <a:ext cx="1497508" cy="898505"/>
        </a:xfrm>
        <a:prstGeom prst="roundRect">
          <a:avLst>
            <a:gd name="adj" fmla="val 10000"/>
          </a:avLst>
        </a:prstGeom>
        <a:gradFill rotWithShape="0">
          <a:gsLst>
            <a:gs pos="0">
              <a:schemeClr val="accent5">
                <a:hueOff val="-1655646"/>
                <a:satOff val="6635"/>
                <a:lumOff val="1438"/>
                <a:alphaOff val="0"/>
                <a:shade val="51000"/>
                <a:satMod val="130000"/>
              </a:schemeClr>
            </a:gs>
            <a:gs pos="80000">
              <a:schemeClr val="accent5">
                <a:hueOff val="-1655646"/>
                <a:satOff val="6635"/>
                <a:lumOff val="1438"/>
                <a:alphaOff val="0"/>
                <a:shade val="93000"/>
                <a:satMod val="130000"/>
              </a:schemeClr>
            </a:gs>
            <a:gs pos="100000">
              <a:schemeClr val="accent5">
                <a:hueOff val="-1655646"/>
                <a:satOff val="6635"/>
                <a:lumOff val="143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Job</a:t>
          </a:r>
          <a:r>
            <a:rPr lang="en-US" sz="1800" kern="1200" baseline="0"/>
            <a:t> summary </a:t>
          </a:r>
          <a:endParaRPr lang="en-US" sz="1800" kern="1200"/>
        </a:p>
      </dsp:txBody>
      <dsp:txXfrm>
        <a:off x="29075" y="1177263"/>
        <a:ext cx="1444876" cy="845873"/>
      </dsp:txXfrm>
    </dsp:sp>
    <dsp:sp modelId="{F65F6438-BDA5-9141-A2B8-793D7DB70885}">
      <dsp:nvSpPr>
        <dsp:cNvPr id="0" name=""/>
        <dsp:cNvSpPr/>
      </dsp:nvSpPr>
      <dsp:spPr>
        <a:xfrm>
          <a:off x="312087" y="2428742"/>
          <a:ext cx="1981860" cy="134775"/>
        </a:xfrm>
        <a:prstGeom prst="rect">
          <a:avLst/>
        </a:prstGeom>
        <a:gradFill rotWithShape="0">
          <a:gsLst>
            <a:gs pos="0">
              <a:schemeClr val="accent5">
                <a:hueOff val="-3973551"/>
                <a:satOff val="15924"/>
                <a:lumOff val="3451"/>
                <a:alphaOff val="0"/>
                <a:shade val="51000"/>
                <a:satMod val="130000"/>
              </a:schemeClr>
            </a:gs>
            <a:gs pos="80000">
              <a:schemeClr val="accent5">
                <a:hueOff val="-3973551"/>
                <a:satOff val="15924"/>
                <a:lumOff val="3451"/>
                <a:alphaOff val="0"/>
                <a:shade val="93000"/>
                <a:satMod val="130000"/>
              </a:schemeClr>
            </a:gs>
            <a:gs pos="100000">
              <a:schemeClr val="accent5">
                <a:hueOff val="-3973551"/>
                <a:satOff val="15924"/>
                <a:lumOff val="3451"/>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3">
          <a:scrgbClr r="0" g="0" b="0"/>
        </a:fillRef>
        <a:effectRef idx="2">
          <a:scrgbClr r="0" g="0" b="0"/>
        </a:effectRef>
        <a:fontRef idx="minor">
          <a:schemeClr val="lt1"/>
        </a:fontRef>
      </dsp:style>
    </dsp:sp>
    <dsp:sp modelId="{5C65827F-1A6E-6749-BAE8-A858B3C2E00F}">
      <dsp:nvSpPr>
        <dsp:cNvPr id="0" name=""/>
        <dsp:cNvSpPr/>
      </dsp:nvSpPr>
      <dsp:spPr>
        <a:xfrm>
          <a:off x="2759" y="2274078"/>
          <a:ext cx="1497508" cy="898505"/>
        </a:xfrm>
        <a:prstGeom prst="roundRect">
          <a:avLst>
            <a:gd name="adj" fmla="val 10000"/>
          </a:avLst>
        </a:prstGeom>
        <a:gradFill rotWithShape="0">
          <a:gsLst>
            <a:gs pos="0">
              <a:schemeClr val="accent5">
                <a:hueOff val="-3311292"/>
                <a:satOff val="13270"/>
                <a:lumOff val="2876"/>
                <a:alphaOff val="0"/>
                <a:shade val="51000"/>
                <a:satMod val="130000"/>
              </a:schemeClr>
            </a:gs>
            <a:gs pos="80000">
              <a:schemeClr val="accent5">
                <a:hueOff val="-3311292"/>
                <a:satOff val="13270"/>
                <a:lumOff val="2876"/>
                <a:alphaOff val="0"/>
                <a:shade val="93000"/>
                <a:satMod val="130000"/>
              </a:schemeClr>
            </a:gs>
            <a:gs pos="100000">
              <a:schemeClr val="accent5">
                <a:hueOff val="-3311292"/>
                <a:satOff val="13270"/>
                <a:lumOff val="287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Vacancy publicity</a:t>
          </a:r>
        </a:p>
      </dsp:txBody>
      <dsp:txXfrm>
        <a:off x="29075" y="2300394"/>
        <a:ext cx="1444876" cy="845873"/>
      </dsp:txXfrm>
    </dsp:sp>
    <dsp:sp modelId="{2A8E642E-5D69-9D47-87AF-CFE1149E4243}">
      <dsp:nvSpPr>
        <dsp:cNvPr id="0" name=""/>
        <dsp:cNvSpPr/>
      </dsp:nvSpPr>
      <dsp:spPr>
        <a:xfrm rot="16200000">
          <a:off x="1742207" y="1867177"/>
          <a:ext cx="1113305" cy="134775"/>
        </a:xfrm>
        <a:prstGeom prst="rect">
          <a:avLst/>
        </a:prstGeom>
        <a:gradFill rotWithShape="0">
          <a:gsLst>
            <a:gs pos="0">
              <a:schemeClr val="accent5">
                <a:hueOff val="-5960326"/>
                <a:satOff val="23887"/>
                <a:lumOff val="5177"/>
                <a:alphaOff val="0"/>
                <a:shade val="51000"/>
                <a:satMod val="130000"/>
              </a:schemeClr>
            </a:gs>
            <a:gs pos="80000">
              <a:schemeClr val="accent5">
                <a:hueOff val="-5960326"/>
                <a:satOff val="23887"/>
                <a:lumOff val="5177"/>
                <a:alphaOff val="0"/>
                <a:shade val="93000"/>
                <a:satMod val="130000"/>
              </a:schemeClr>
            </a:gs>
            <a:gs pos="100000">
              <a:schemeClr val="accent5">
                <a:hueOff val="-5960326"/>
                <a:satOff val="23887"/>
                <a:lumOff val="5177"/>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3">
          <a:scrgbClr r="0" g="0" b="0"/>
        </a:fillRef>
        <a:effectRef idx="2">
          <a:scrgbClr r="0" g="0" b="0"/>
        </a:effectRef>
        <a:fontRef idx="minor">
          <a:schemeClr val="lt1"/>
        </a:fontRef>
      </dsp:style>
    </dsp:sp>
    <dsp:sp modelId="{11AD8F61-060E-454D-BE9D-3AE4741324B9}">
      <dsp:nvSpPr>
        <dsp:cNvPr id="0" name=""/>
        <dsp:cNvSpPr/>
      </dsp:nvSpPr>
      <dsp:spPr>
        <a:xfrm>
          <a:off x="1994445" y="2274078"/>
          <a:ext cx="1497508" cy="898505"/>
        </a:xfrm>
        <a:prstGeom prst="roundRect">
          <a:avLst>
            <a:gd name="adj" fmla="val 10000"/>
          </a:avLst>
        </a:prstGeom>
        <a:gradFill rotWithShape="0">
          <a:gsLst>
            <a:gs pos="0">
              <a:schemeClr val="accent5">
                <a:hueOff val="-4966938"/>
                <a:satOff val="19906"/>
                <a:lumOff val="4314"/>
                <a:alphaOff val="0"/>
                <a:shade val="51000"/>
                <a:satMod val="130000"/>
              </a:schemeClr>
            </a:gs>
            <a:gs pos="80000">
              <a:schemeClr val="accent5">
                <a:hueOff val="-4966938"/>
                <a:satOff val="19906"/>
                <a:lumOff val="4314"/>
                <a:alphaOff val="0"/>
                <a:shade val="93000"/>
                <a:satMod val="130000"/>
              </a:schemeClr>
            </a:gs>
            <a:gs pos="100000">
              <a:schemeClr val="accent5">
                <a:hueOff val="-4966938"/>
                <a:satOff val="19906"/>
                <a:lumOff val="4314"/>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baseline="0"/>
            <a:t>Request and shortlisting</a:t>
          </a:r>
          <a:endParaRPr lang="en-US" sz="1800" kern="1200"/>
        </a:p>
      </dsp:txBody>
      <dsp:txXfrm>
        <a:off x="2020761" y="2300394"/>
        <a:ext cx="1444876" cy="845873"/>
      </dsp:txXfrm>
    </dsp:sp>
    <dsp:sp modelId="{0C4A725D-79CB-0A4C-B71D-F96A76862F0C}">
      <dsp:nvSpPr>
        <dsp:cNvPr id="0" name=""/>
        <dsp:cNvSpPr/>
      </dsp:nvSpPr>
      <dsp:spPr>
        <a:xfrm rot="16200000">
          <a:off x="1742207" y="744045"/>
          <a:ext cx="1113305" cy="134775"/>
        </a:xfrm>
        <a:prstGeom prst="rect">
          <a:avLst/>
        </a:prstGeom>
        <a:gradFill rotWithShape="0">
          <a:gsLst>
            <a:gs pos="0">
              <a:schemeClr val="accent5">
                <a:hueOff val="-7947101"/>
                <a:satOff val="31849"/>
                <a:lumOff val="6902"/>
                <a:alphaOff val="0"/>
                <a:shade val="51000"/>
                <a:satMod val="130000"/>
              </a:schemeClr>
            </a:gs>
            <a:gs pos="80000">
              <a:schemeClr val="accent5">
                <a:hueOff val="-7947101"/>
                <a:satOff val="31849"/>
                <a:lumOff val="6902"/>
                <a:alphaOff val="0"/>
                <a:shade val="93000"/>
                <a:satMod val="130000"/>
              </a:schemeClr>
            </a:gs>
            <a:gs pos="100000">
              <a:schemeClr val="accent5">
                <a:hueOff val="-7947101"/>
                <a:satOff val="31849"/>
                <a:lumOff val="690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3">
          <a:scrgbClr r="0" g="0" b="0"/>
        </a:fillRef>
        <a:effectRef idx="2">
          <a:scrgbClr r="0" g="0" b="0"/>
        </a:effectRef>
        <a:fontRef idx="minor">
          <a:schemeClr val="lt1"/>
        </a:fontRef>
      </dsp:style>
    </dsp:sp>
    <dsp:sp modelId="{C218F9A0-C737-F04C-898C-A312140A2A9F}">
      <dsp:nvSpPr>
        <dsp:cNvPr id="0" name=""/>
        <dsp:cNvSpPr/>
      </dsp:nvSpPr>
      <dsp:spPr>
        <a:xfrm>
          <a:off x="1994445" y="1150947"/>
          <a:ext cx="1497508" cy="898505"/>
        </a:xfrm>
        <a:prstGeom prst="roundRect">
          <a:avLst>
            <a:gd name="adj" fmla="val 10000"/>
          </a:avLst>
        </a:prstGeom>
        <a:gradFill rotWithShape="0">
          <a:gsLst>
            <a:gs pos="0">
              <a:schemeClr val="accent5">
                <a:hueOff val="-6622584"/>
                <a:satOff val="26541"/>
                <a:lumOff val="5752"/>
                <a:alphaOff val="0"/>
                <a:shade val="51000"/>
                <a:satMod val="130000"/>
              </a:schemeClr>
            </a:gs>
            <a:gs pos="80000">
              <a:schemeClr val="accent5">
                <a:hueOff val="-6622584"/>
                <a:satOff val="26541"/>
                <a:lumOff val="5752"/>
                <a:alphaOff val="0"/>
                <a:shade val="93000"/>
                <a:satMod val="130000"/>
              </a:schemeClr>
            </a:gs>
            <a:gs pos="100000">
              <a:schemeClr val="accent5">
                <a:hueOff val="-6622584"/>
                <a:satOff val="26541"/>
                <a:lumOff val="5752"/>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selection and interview</a:t>
          </a:r>
        </a:p>
      </dsp:txBody>
      <dsp:txXfrm>
        <a:off x="2020761" y="1177263"/>
        <a:ext cx="1444876" cy="845873"/>
      </dsp:txXfrm>
    </dsp:sp>
    <dsp:sp modelId="{CBCB84FA-5030-1744-9429-5E4EDAC87AA9}">
      <dsp:nvSpPr>
        <dsp:cNvPr id="0" name=""/>
        <dsp:cNvSpPr/>
      </dsp:nvSpPr>
      <dsp:spPr>
        <a:xfrm>
          <a:off x="2303773" y="182479"/>
          <a:ext cx="1981860" cy="134775"/>
        </a:xfrm>
        <a:prstGeom prst="rect">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190500" prstMaterial="plastic"/>
      </dsp:spPr>
      <dsp:style>
        <a:lnRef idx="0">
          <a:scrgbClr r="0" g="0" b="0"/>
        </a:lnRef>
        <a:fillRef idx="3">
          <a:scrgbClr r="0" g="0" b="0"/>
        </a:fillRef>
        <a:effectRef idx="2">
          <a:scrgbClr r="0" g="0" b="0"/>
        </a:effectRef>
        <a:fontRef idx="minor">
          <a:schemeClr val="lt1"/>
        </a:fontRef>
      </dsp:style>
    </dsp:sp>
    <dsp:sp modelId="{8610CE55-2CAE-AE48-A81F-9025D61437E2}">
      <dsp:nvSpPr>
        <dsp:cNvPr id="0" name=""/>
        <dsp:cNvSpPr/>
      </dsp:nvSpPr>
      <dsp:spPr>
        <a:xfrm>
          <a:off x="1994445" y="27815"/>
          <a:ext cx="1497508" cy="898505"/>
        </a:xfrm>
        <a:prstGeom prst="roundRect">
          <a:avLst>
            <a:gd name="adj" fmla="val 10000"/>
          </a:avLst>
        </a:prstGeom>
        <a:gradFill rotWithShape="0">
          <a:gsLst>
            <a:gs pos="0">
              <a:schemeClr val="accent5">
                <a:hueOff val="-8278230"/>
                <a:satOff val="33176"/>
                <a:lumOff val="7190"/>
                <a:alphaOff val="0"/>
                <a:shade val="51000"/>
                <a:satMod val="130000"/>
              </a:schemeClr>
            </a:gs>
            <a:gs pos="80000">
              <a:schemeClr val="accent5">
                <a:hueOff val="-8278230"/>
                <a:satOff val="33176"/>
                <a:lumOff val="7190"/>
                <a:alphaOff val="0"/>
                <a:shade val="93000"/>
                <a:satMod val="130000"/>
              </a:schemeClr>
            </a:gs>
            <a:gs pos="100000">
              <a:schemeClr val="accent5">
                <a:hueOff val="-8278230"/>
                <a:satOff val="33176"/>
                <a:lumOff val="719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The hiring of new staffs</a:t>
          </a:r>
        </a:p>
      </dsp:txBody>
      <dsp:txXfrm>
        <a:off x="2020761" y="54131"/>
        <a:ext cx="1444876" cy="845873"/>
      </dsp:txXfrm>
    </dsp:sp>
    <dsp:sp modelId="{6A464F00-EEED-CA48-B5D5-72ACFC7FA8E8}">
      <dsp:nvSpPr>
        <dsp:cNvPr id="0" name=""/>
        <dsp:cNvSpPr/>
      </dsp:nvSpPr>
      <dsp:spPr>
        <a:xfrm>
          <a:off x="3986132" y="27815"/>
          <a:ext cx="1497508" cy="898505"/>
        </a:xfrm>
        <a:prstGeom prst="roundRect">
          <a:avLst>
            <a:gd name="adj" fmla="val 10000"/>
          </a:avLst>
        </a:prstGeom>
        <a:gradFill rotWithShape="0">
          <a:gsLst>
            <a:gs pos="0">
              <a:schemeClr val="accent5">
                <a:hueOff val="-9933876"/>
                <a:satOff val="39811"/>
                <a:lumOff val="8628"/>
                <a:alphaOff val="0"/>
                <a:shade val="51000"/>
                <a:satMod val="130000"/>
              </a:schemeClr>
            </a:gs>
            <a:gs pos="80000">
              <a:schemeClr val="accent5">
                <a:hueOff val="-9933876"/>
                <a:satOff val="39811"/>
                <a:lumOff val="8628"/>
                <a:alphaOff val="0"/>
                <a:shade val="93000"/>
                <a:satMod val="130000"/>
              </a:schemeClr>
            </a:gs>
            <a:gs pos="100000">
              <a:schemeClr val="accent5">
                <a:hueOff val="-9933876"/>
                <a:satOff val="39811"/>
                <a:lumOff val="862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Equal</a:t>
          </a:r>
          <a:r>
            <a:rPr lang="en-US" sz="1800" kern="1200" baseline="0"/>
            <a:t> chances </a:t>
          </a:r>
          <a:endParaRPr lang="en-US" sz="1800" kern="1200"/>
        </a:p>
      </dsp:txBody>
      <dsp:txXfrm>
        <a:off x="4012448" y="54131"/>
        <a:ext cx="1444876" cy="84587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2">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bkpt" val="bal"/>
          <dgm:param type="contDir" val="revDir"/>
          <dgm:param type="flowDir" val="col"/>
          <dgm:param type="grDir" val="tL"/>
        </dgm:alg>
      </dgm:if>
      <dgm:else name="Name3">
        <dgm:alg type="snake">
          <dgm:param type="bkpt" val="bal"/>
          <dgm:param type="contDir" val="revDir"/>
          <dgm:param type="flowDir" val="col"/>
          <dgm:param type="grDir" val="tR"/>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begPts" val="bCtr, midR, tCtr"/>
                <dgm:param type="begSty" val="noArr"/>
                <dgm:param type="dstNode" val="dummyConnPt"/>
                <dgm:param type="endPts" val="tCtr, midL, bCtr"/>
                <dgm:param type="endSty" val="noArr"/>
                <dgm:param type="srcNode" val="dummyConnPt"/>
              </dgm:alg>
            </dgm:if>
            <dgm:else name="Name9">
              <dgm:alg type="conn">
                <dgm:param type="begPts" val="bCtr, midL, tCtr"/>
                <dgm:param type="begSty" val="noArr"/>
                <dgm:param type="dstNode" val="dummyConnPt"/>
                <dgm:param type="endPts" val="tCtr, midR, bCtr"/>
                <dgm:param type="endSty" val="noArr"/>
                <dgm:param type="srcNode" val="dummyConnPt"/>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2">
  <dgm:title val=""/>
  <dgm:desc val=""/>
  <dgm:catLst>
    <dgm:cat type="3D" pri="11100"/>
  </dgm:catLst>
  <dgm:scene3d>
    <a:camera prst="orthographicFront"/>
    <a:lightRig rig="threePt" dir="t"/>
  </dgm:scene3d>
  <dgm:styleLbl name="node0">
    <dgm:scene3d>
      <a:camera prst="orthographicFront"/>
      <a:lightRig rig="flat" dir="t"/>
    </dgm:scene3d>
    <dgm:sp3d prstMaterial="plastic"/>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1994</Words>
  <Characters>11367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2021-02-07T22:04:00Z</dcterms:created>
  <dcterms:modified xsi:type="dcterms:W3CDTF">2021-02-07T22:04:00Z</dcterms:modified>
</cp:coreProperties>
</file>